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2687A64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responses to elevated CO</w:t>
      </w:r>
      <w:r w:rsidR="002812F5">
        <w:rPr>
          <w:vertAlign w:val="subscript"/>
        </w:rPr>
        <w:t>2</w:t>
      </w:r>
      <w:r w:rsidR="002812F5">
        <w:t xml:space="preserve"> are independent of soil nitrogen fertilization and </w:t>
      </w:r>
      <w:proofErr w:type="spellStart"/>
      <w:r w:rsidR="00DE2B27">
        <w:t>rhizobial</w:t>
      </w:r>
      <w:proofErr w:type="spellEnd"/>
      <w:r w:rsidR="002812F5">
        <w:t xml:space="preserve"> inoculation in </w:t>
      </w:r>
      <w:r w:rsidR="002812F5">
        <w:rPr>
          <w:i/>
          <w:iCs/>
        </w:rPr>
        <w:t>Glycine max</w:t>
      </w:r>
      <w:r w:rsidR="002812F5">
        <w:t xml:space="preserve"> </w:t>
      </w:r>
      <w:r w:rsidR="00DE2B27">
        <w:rPr>
          <w:bCs/>
        </w:rPr>
        <w:t>L. (</w:t>
      </w:r>
      <w:proofErr w:type="spellStart"/>
      <w:r w:rsidR="00DE2B27">
        <w:rPr>
          <w:bCs/>
        </w:rPr>
        <w:t>Merr</w:t>
      </w:r>
      <w:proofErr w:type="spellEnd"/>
      <w:r w:rsidR="00DE2B27">
        <w:rPr>
          <w:bCs/>
        </w:rPr>
        <w:t>)</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6942D719" w:rsidR="00E60BAC" w:rsidRPr="00FE014F" w:rsidRDefault="00E60BAC" w:rsidP="00DE2B27">
      <w:pPr>
        <w:spacing w:line="360" w:lineRule="auto"/>
        <w:ind w:firstLine="720"/>
        <w:rPr>
          <w:bCs/>
        </w:rPr>
      </w:pPr>
      <w:r w:rsidRPr="00FE014F">
        <w:rPr>
          <w:bCs/>
        </w:rPr>
        <w:t xml:space="preserve">Introduction: </w:t>
      </w:r>
      <w:r w:rsidR="00391BFD">
        <w:rPr>
          <w:bCs/>
        </w:rPr>
        <w:t>1376</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65989336"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rPr>
        <w:t>were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7584EF7C"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proofErr w:type="spellStart"/>
      <w:r w:rsidR="006C797A">
        <w:rPr>
          <w:bCs/>
        </w:rPr>
        <w:t>fixaiton</w:t>
      </w:r>
      <w:proofErr w:type="spellEnd"/>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50B9522E"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increasing CO</w:t>
      </w:r>
      <w:r w:rsidR="009C0896">
        <w:rPr>
          <w:vertAlign w:val="subscript"/>
        </w:rPr>
        <w:t>2</w:t>
      </w:r>
      <w:r w:rsidR="009C0896">
        <w:t xml:space="preserve"> concentrations remains </w:t>
      </w:r>
      <w:r w:rsidR="009C089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2","type":"article-journal","volume":"19"},"uris":["http://www.mendeley.com/documents/?uuid=3d7a4e74-e145-4f5d-8588-5be639c75aca"]}],"mendeley":{"formattedCitation":"(N. G. Smith &amp; Dukes, 2013; N. G. Smith &amp; Keenan, 2020; Terrer et al., 2018)","plainTextFormattedCitation":"(N. G. Smith &amp; Dukes, 2013; N. G. Smith &amp; Keenan, 2020; Terrer et al., 2018)","previouslyFormattedCitation":"(N. G. Smith &amp; Dukes, 2013; N. G. Smith &amp; Keenan, 2020; Terrer et al., 2018)"},"properties":{"noteIndex":0},"schema":"https://github.com/citation-style-language/schema/raw/master/csl-citation.json"}</w:instrText>
      </w:r>
      <w:r w:rsidR="009C0896">
        <w:fldChar w:fldCharType="separate"/>
      </w:r>
      <w:r w:rsidR="0049650C" w:rsidRPr="0049650C">
        <w:rPr>
          <w:noProof/>
        </w:rPr>
        <w:t>(N. G. Smith &amp; Dukes, 2013; N. G.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C0896" w:rsidRPr="00CB183B">
        <w:t xml:space="preserve">, indicating a need to </w:t>
      </w:r>
      <w:r w:rsidR="00A3384B" w:rsidRPr="00CB183B">
        <w:t xml:space="preserve">further </w:t>
      </w:r>
      <w:r w:rsidR="009C0896" w:rsidRPr="00CB183B">
        <w:t>test mechanisms governing leaf and whole plant acclimation responses to increasing CO</w:t>
      </w:r>
      <w:r w:rsidR="009C0896" w:rsidRPr="00CB183B">
        <w:rPr>
          <w:vertAlign w:val="subscript"/>
        </w:rPr>
        <w:t>2</w:t>
      </w:r>
      <w:r w:rsidR="009C0896" w:rsidRPr="00CB183B">
        <w:t xml:space="preserve"> across soil nutrient availability gradients.</w:t>
      </w:r>
    </w:p>
    <w:p w14:paraId="1E388110" w14:textId="7298A5B0" w:rsidR="000A6A68" w:rsidRDefault="00CB183B" w:rsidP="000A6A68">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49650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N. G. Smith &amp; Dukes, 2013)","plainTextFormattedCitation":"(Ainsworth et al., 2002; Ainsworth &amp; Long, 2005; Ainsworth &amp; Rogers, 2007; Curtis, 1996; Makino, 2003; Morgan et al., 2004; Poorter et al., 2022; N. G. Smith &amp; Dukes, 2013)","previouslyFormattedCitation":"(Ainsworth et al., 2002; Ainsworth &amp; Long, 2005; Ainsworth &amp; Rogers, 2007; Curtis, 1996; Makino, 2003; Morgan et al., 2004; Poorter et al., 2022; N. G. Smith &amp; Dukes, 2013)"},"properties":{"noteIndex":0},"schema":"https://github.com/citation-style-language/schema/raw/master/csl-citation.json"}</w:instrText>
      </w:r>
      <w:r w:rsidR="005E2D78" w:rsidRPr="00FE014F">
        <w:fldChar w:fldCharType="separate"/>
      </w:r>
      <w:r w:rsidR="0049650C" w:rsidRPr="0049650C">
        <w:rPr>
          <w:noProof/>
        </w:rPr>
        <w:t>(Ainsworth et al., 2002; Ainsworth &amp; Long, 2005; Ainsworth &amp; Rogers, 2007; Curtis, 1996; Makino, 2003; Morgan et al., 2004; Poorter et al., 2022; N. G.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elevated CO</w:t>
      </w:r>
      <w:r w:rsidR="005E2D78">
        <w:rPr>
          <w:vertAlign w:val="subscript"/>
        </w:rPr>
        <w:t>2</w:t>
      </w:r>
      <w:r w:rsidR="005E2D78">
        <w:t xml:space="preserve"> are dependent on soil nutrient availability</w:t>
      </w:r>
      <w:r w:rsidR="00B25841">
        <w:t xml:space="preserve"> through progressive nutrient limitation</w:t>
      </w:r>
      <w:r w:rsidR="005E2D78">
        <w:t xml:space="preserve">.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lead to progressive reductions </w:t>
      </w:r>
      <w:r w:rsidR="00B25841">
        <w:t xml:space="preserve">in soil nutrient availability if soil nutrient supply </w:t>
      </w:r>
      <w:r w:rsidR="00887B00">
        <w:t>does</w:t>
      </w:r>
      <w:r w:rsidR="00B25841">
        <w:t xml:space="preserve"> not sufficient</w:t>
      </w:r>
      <w:r w:rsidR="00887B00">
        <w:t>ly</w:t>
      </w:r>
      <w:r w:rsidR="00B25841">
        <w:t xml:space="preserve"> meet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 xml:space="preserve">. </w:t>
      </w:r>
      <w:r w:rsidR="000A6A68">
        <w:t>Progressive r</w:t>
      </w:r>
      <w:r w:rsidR="00DF6D16">
        <w:t>eductions in soil nutrient availability due to elevated CO</w:t>
      </w:r>
      <w:r w:rsidR="00DF6D16">
        <w:rPr>
          <w:vertAlign w:val="subscript"/>
        </w:rPr>
        <w:t>2</w:t>
      </w:r>
      <w:r w:rsidR="00DF6D16">
        <w:t xml:space="preserve"> are expected </w:t>
      </w:r>
      <w:r w:rsidR="00B25841">
        <w:t xml:space="preserve">decrease leaf </w:t>
      </w:r>
      <w:r w:rsidR="005E2D78">
        <w:t xml:space="preserve">nutrient allocation </w:t>
      </w:r>
      <w:r w:rsidR="005E2D78" w:rsidRPr="005E2D78">
        <w:t>and photosynthetic capacity</w:t>
      </w:r>
      <w:r w:rsidR="00B25841">
        <w:t xml:space="preserve">, and acute stimulations in whole plant growth </w:t>
      </w:r>
      <w:r w:rsidR="000A6A68">
        <w:t xml:space="preserve">are </w:t>
      </w:r>
      <w:r w:rsidR="000A6A68">
        <w:lastRenderedPageBreak/>
        <w:t>expected</w:t>
      </w:r>
      <w:r w:rsidR="00B25841">
        <w:t xml:space="preserve"> diminish over time as nutrients become more limited. </w:t>
      </w:r>
      <w:r w:rsidR="000A6A68">
        <w:t xml:space="preserve">This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w:t>
      </w:r>
      <w:r w:rsidR="000A6A68">
        <w:t>although is not consistently observed across free air CO</w:t>
      </w:r>
      <w:r w:rsidR="000A6A68">
        <w:rPr>
          <w:vertAlign w:val="subscript"/>
        </w:rPr>
        <w:t>2</w:t>
      </w:r>
      <w:r w:rsidR="000A6A68">
        <w:t xml:space="preserve"> enrichment experiments </w:t>
      </w:r>
      <w:r w:rsidR="000A6A68">
        <w:fldChar w:fldCharType="begin" w:fldLock="1"/>
      </w:r>
      <w:r w:rsidR="000A6A68">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et al., 2006; J. Liang et al., 2016; Moore et al., 2006)","plainTextFormattedCitation":"(Finzi et al., 2006; J. Liang et al., 2016; Moore et al., 2006)","previouslyFormattedCitation":"(Finzi et al., 2006; J. Liang et al., 2016; Moore et al., 2006)"},"properties":{"noteIndex":0},"schema":"https://github.com/citation-style-language/schema/raw/master/csl-citation.json"}</w:instrText>
      </w:r>
      <w:r w:rsidR="000A6A68">
        <w:fldChar w:fldCharType="separate"/>
      </w:r>
      <w:r w:rsidR="000A6A68" w:rsidRPr="000A6A68">
        <w:rPr>
          <w:noProof/>
        </w:rPr>
        <w:t>(Finzi et al., 2006; J. Liang et al., 2016; Moore et al., 2006)</w:t>
      </w:r>
      <w:r w:rsidR="000A6A68">
        <w:fldChar w:fldCharType="end"/>
      </w:r>
      <w:r w:rsidR="000A6A68">
        <w:t>.</w:t>
      </w:r>
    </w:p>
    <w:p w14:paraId="56207EAF" w14:textId="5460EA5B"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49650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Phytologist","id":"ITEM-5","issue":"5","issued":{"date-parts":[["2022","9","22"]]},"page":"1692-1700","title":"Rising CO 2 and warming reduce global canopy demand for nitrogen","type":"article-journal","volume":"235"},"uris":["http://www.mendeley.com/documents/?uuid=8f26b717-0c63-4a11-b766-e27b90eb396f"]},{"id":"ITEM-6","itemData":{"DOI":"10.1111/ele.13210","ISSN":"1461-023X","abstract":"Earth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Biology","id":"ITEM-7","issued":{"date-parts":[["2022","11","16"]]},"page":"1-29","title":"Coordination of photosynthetic traits across soil and climate gradients","type":"article-journal"},"uris":["http://www.mendeley.com/documents/?uuid=21ffc03c-3e82-40b0-846f-1638da6585e7"]},{"id":"ITEM-8","itemData":{"DOI":"10.1111/nph.16702","ISSN":"0028-646X","abstract":"\u000f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Phytologist","id":"ITEM-8","issue":"1","issued":{"date-parts":[["2020","10","9"]]},"page":"121-135","title":"When and where soil is important to modify the carbon and water economy of leaves","type":"article-journal","volume":"228"},"uris":["http://www.mendeley.com/documents/?uuid=7a979be5-4341-4431-bd38-7ceeeada2df2"]},{"id":"ITEM-9","itemData":{"DOI":"10.1111/nph.18254","ISSN":"0028-646X","abstract":"The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Phytologist","id":"ITEM-9","issue":"4","issued":{"date-parts":[["2022","8","21"]]},"page":"1351-1364","title":"Higher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trees","type":"article-journal","volume":"235"},"uris":["http://www.mendeley.com/documents/?uuid=6c52b46a-4bb6-4058-885d-47c6fd2b9341"]},{"id":"ITEM-10","itemData":{"DOI":"10.1111/gcb.15212","ISSN":"1354-1013","abstract":"The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Biology","id":"ITEM-10","issue":"9","issued":{"date-parts":[["2020","9","3"]]},"page":"5202-5216","title":"Mechanisms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Wright, et al., 2022; Dong, Prentice, et al., 2022; Paillassa et al., 2020; Peng et al., 2021; Querejeta et al., 2022; N. G. Smith et al., 2019; N. G. Smith &amp; Keenan, 2020; Westerband et al., 2022)","plainTextFormattedCitation":"(Dong et al., 2017, 2020; Dong, Wright, et al., 2022; Dong, Prentice, et al., 2022; Paillassa et al., 2020; Peng et al., 2021; Querejeta et al., 2022; N. G. Smith et al., 2019; N. G. Smith &amp; Keenan, 2020; Westerband et al., 2022)","previouslyFormattedCitation":"(Dong et al., 2017, 2020; Dong, Wright, et al., 2022; Dong, Prentice, et al., 2022; Paillassa et al., 2020; Peng et al., 2021; Querejeta et al., 2022; N. G. Smith et al., 2019; N. G. Smith &amp; Keenan, 2020; Westerband et al., 2022)"},"properties":{"noteIndex":0},"schema":"https://github.com/citation-style-language/schema/raw/master/csl-citation.json"}</w:instrText>
      </w:r>
      <w:r w:rsidR="00713D98">
        <w:fldChar w:fldCharType="separate"/>
      </w:r>
      <w:r w:rsidR="0049650C" w:rsidRPr="0049650C">
        <w:rPr>
          <w:noProof/>
        </w:rPr>
        <w:t>(Dong et al., 2017, 2020; Dong, Wright, et al., 2022; Dong, Prentice, et al., 2022; Paillassa et al., 2020; Peng et al., 2021; Querejeta et al., 2022; N. G. Smith et al., 2019; N. G. Smith &amp; Keenan, 2020; Westerband et al., 2022)</w:t>
      </w:r>
      <w:r w:rsidR="00713D98">
        <w:fldChar w:fldCharType="end"/>
      </w:r>
      <w:r w:rsidR="000A6A68">
        <w:t>, and satellite-derived chlorophyll fluorescence data has indicate that increasing atmospheric CO</w:t>
      </w:r>
      <w:r w:rsidR="000A6A68">
        <w:rPr>
          <w:vertAlign w:val="subscript"/>
        </w:rPr>
        <w:t>2</w:t>
      </w:r>
      <w:r w:rsidR="000A6A68">
        <w:t xml:space="preserve"> may actually decrease</w:t>
      </w:r>
      <w:r w:rsidR="000669D2">
        <w:t xml:space="preserve"> both leaf and</w:t>
      </w:r>
      <w:r w:rsidR="000A6A68">
        <w:t xml:space="preserve"> canopy nitrogen demand, which calls the central mechanism regulating progressive nutrient limitation into question </w:t>
      </w:r>
      <w:r w:rsidR="000A6A68">
        <w:fldChar w:fldCharType="begin" w:fldLock="1"/>
      </w:r>
      <w:r w:rsidR="000669D2">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Wright, et al., 2022)","plainTextFormattedCitation":"(Dong, Wright, et al., 2022)","previouslyFormattedCitation":"(Dong, Wright, et al., 2022)"},"properties":{"noteIndex":0},"schema":"https://github.com/citation-style-language/schema/raw/master/csl-citation.json"}</w:instrText>
      </w:r>
      <w:r w:rsidR="000A6A68">
        <w:fldChar w:fldCharType="separate"/>
      </w:r>
      <w:r w:rsidR="000A6A68" w:rsidRPr="000A6A68">
        <w:rPr>
          <w:noProof/>
        </w:rPr>
        <w:t>(Dong, Wright, et al., 2022)</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may not be as tightly linked </w:t>
      </w:r>
      <w:r w:rsidR="00DF6D16">
        <w:t>to progressive nutrient limitation as</w:t>
      </w:r>
      <w:r w:rsidR="00CB5C46">
        <w:t xml:space="preserve"> previously thought.</w:t>
      </w:r>
    </w:p>
    <w:p w14:paraId="2F652F88" w14:textId="542733AC" w:rsidR="0049650C" w:rsidRDefault="00DF6D16" w:rsidP="0049650C">
      <w:pPr>
        <w:spacing w:line="360" w:lineRule="auto"/>
        <w:ind w:firstLine="720"/>
      </w:pPr>
      <w:r>
        <w:t xml:space="preserve">Recent unification of optimal coordination and photosynthetic least-cost theories predicts that leaves acclimate to </w:t>
      </w:r>
      <w:r w:rsidRPr="005E71A8">
        <w:t>elevated CO</w:t>
      </w:r>
      <w:r w:rsidRPr="005E71A8">
        <w:rPr>
          <w:vertAlign w:val="subscript"/>
        </w:rPr>
        <w:t>2</w:t>
      </w:r>
      <w:r w:rsidRPr="005E71A8">
        <w:t xml:space="preserve"> </w:t>
      </w:r>
      <w:r>
        <w:t xml:space="preserve">by </w:t>
      </w:r>
      <w:r w:rsidRPr="005E71A8">
        <w:t>downregulat</w:t>
      </w:r>
      <w:r>
        <w:t>ing</w:t>
      </w:r>
      <w:r w:rsidRPr="005E71A8">
        <w:t xml:space="preserve"> nutrient allocation to </w:t>
      </w:r>
      <w:r>
        <w:t>Ribulose-1,5-bisphosphate</w:t>
      </w:r>
      <w:r w:rsidR="001D4A26">
        <w:t xml:space="preserve"> (RuBP)</w:t>
      </w:r>
      <w:r>
        <w:t xml:space="preserve"> carboxylase/oxygenase (</w:t>
      </w:r>
      <w:r w:rsidRPr="005E71A8">
        <w:t>Rubisco</w:t>
      </w:r>
      <w:r>
        <w:t>)</w:t>
      </w:r>
      <w:r w:rsidRPr="005E71A8">
        <w:t xml:space="preserve"> to optimize resource use efficiencies at the leaf level</w:t>
      </w:r>
      <w:r>
        <w:t xml:space="preserve">, </w:t>
      </w:r>
      <w:r w:rsidR="00CB5C46">
        <w:t xml:space="preserve">which </w:t>
      </w:r>
      <w:r w:rsidR="001D4A26">
        <w:t>maximiz</w:t>
      </w:r>
      <w:r w:rsidR="00E4717B">
        <w:t>es</w:t>
      </w:r>
      <w:r w:rsidR="001D4A26">
        <w:t xml:space="preserve"> </w:t>
      </w:r>
      <w:r w:rsidRPr="005E71A8">
        <w:t>resource allocation to whole plant growth</w:t>
      </w:r>
      <w:r>
        <w:t xml:space="preserve"> </w:t>
      </w:r>
      <w:r w:rsidR="000669D2">
        <w:fldChar w:fldCharType="begin" w:fldLock="1"/>
      </w:r>
      <w:r w:rsidR="0049650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N. G. Smith et al., 2019; Wright et al., 2003)","plainTextFormattedCitation":"(Prentice et al., 2014; N. G. Smith et al., 2019; Wright et al., 2003)","previouslyFormattedCitation":"(Prentice et al., 2014; N. G. Smith et al., 2019; Wright et al., 2003)"},"properties":{"noteIndex":0},"schema":"https://github.com/citation-style-language/schema/raw/master/csl-citation.json"}</w:instrText>
      </w:r>
      <w:r w:rsidR="000669D2">
        <w:fldChar w:fldCharType="separate"/>
      </w:r>
      <w:r w:rsidR="0049650C" w:rsidRPr="0049650C">
        <w:rPr>
          <w:noProof/>
        </w:rPr>
        <w:t>(Prentice et al., 2014; N. G. Smith et al., 2019; Wright et al., 2003)</w:t>
      </w:r>
      <w:r w:rsidR="000669D2">
        <w:fldChar w:fldCharType="end"/>
      </w:r>
      <w:r>
        <w:t xml:space="preserve">. </w:t>
      </w:r>
      <w:r w:rsidR="00CB5C46">
        <w:t xml:space="preserve">The theory predicts that the downregulation in nutrient allocation to Rubisco results in a stronger downregulation in </w:t>
      </w:r>
      <w:r w:rsidR="00CB5C46">
        <w:t>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w:t>
      </w:r>
      <w:r w:rsidR="00CB5C46">
        <w:t xml:space="preserve">, </w:t>
      </w:r>
      <w:r w:rsidR="00E4717B">
        <w:t xml:space="preserve">which maximizes photosynthetic efficiency by allowing net photosynthesis rates to be equally </w:t>
      </w:r>
      <w:proofErr w:type="spellStart"/>
      <w:r w:rsidR="00E4717B">
        <w:t>colimited</w:t>
      </w:r>
      <w:proofErr w:type="spellEnd"/>
      <w:r w:rsidR="00E4717B">
        <w:t xml:space="preserve"> by Rubisco carboxylation and RuBP regeneration </w:t>
      </w:r>
      <w:r w:rsidR="00E4717B">
        <w:fldChar w:fldCharType="begin" w:fldLock="1"/>
      </w:r>
      <w:r w:rsidR="001262D1">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E4717B">
        <w:fldChar w:fldCharType="separate"/>
      </w:r>
      <w:r w:rsidR="00E4717B" w:rsidRPr="00E4717B">
        <w:rPr>
          <w:noProof/>
        </w:rPr>
        <w:t>(Chen et al., 1993; Maire et al.,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that are not needed to optimize leaf photosynthesis are reallocated to the maintenance support of structures that support whole plant growth (e.g., total leaf area, whole plant biomass, etc.). Thus, the theory indicates that leaf acclimation responses to elevated CO</w:t>
      </w:r>
      <w:r w:rsidR="00284815">
        <w:rPr>
          <w:vertAlign w:val="subscript"/>
        </w:rPr>
        <w:t>2</w:t>
      </w:r>
      <w:r w:rsidR="00284815">
        <w:t xml:space="preserve"> should be independent of changes in soil nutrient availability, while whole plant acclimation responses to elevated CO</w:t>
      </w:r>
      <w:r w:rsidR="00284815">
        <w:rPr>
          <w:vertAlign w:val="subscript"/>
        </w:rPr>
        <w:t>2</w:t>
      </w:r>
      <w:r w:rsidR="00284815">
        <w:t xml:space="preserve"> </w:t>
      </w:r>
      <w:r w:rsidR="00284815">
        <w:lastRenderedPageBreak/>
        <w:t xml:space="preserve">may be dependent on soil nutrient availability. Leaf acclimation responses from this theory were recently supported, although responses were dependent on species dominant mode of nutrient acquisition </w:t>
      </w:r>
      <w:r w:rsidR="001D4A2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theory","type":"article-journal","volume":"26"},"uris":["http://www.mendeley.com/documents/?uuid=bbe0947b-b3f9-4a9e-999f-3f077c3079d4"]}],"mendeley":{"formattedCitation":"(N. G. Smith &amp; Keenan, 2020)","plainTextFormattedCitation":"(N. G. Smith &amp; Keenan, 2020)","previouslyFormattedCitation":"(N. G. Smith &amp; Keenan, 2020)"},"properties":{"noteIndex":0},"schema":"https://github.com/citation-style-language/schema/raw/master/csl-citation.json"}</w:instrText>
      </w:r>
      <w:r w:rsidR="001D4A26">
        <w:fldChar w:fldCharType="separate"/>
      </w:r>
      <w:r w:rsidR="0049650C" w:rsidRPr="0049650C">
        <w:rPr>
          <w:noProof/>
        </w:rPr>
        <w:t>(N. G. Smith &amp; Keenan, 2020)</w:t>
      </w:r>
      <w:r w:rsidR="001D4A26">
        <w:fldChar w:fldCharType="end"/>
      </w:r>
      <w:r w:rsidR="001D4A26">
        <w:t>.</w:t>
      </w:r>
    </w:p>
    <w:p w14:paraId="46579FD4" w14:textId="6728231A" w:rsidR="002E1766" w:rsidRDefault="0049650C" w:rsidP="00CE087E">
      <w:pPr>
        <w:spacing w:line="360" w:lineRule="auto"/>
        <w:ind w:firstLine="720"/>
      </w:pPr>
      <w:r>
        <w:t>Plants acquire nutrients by allocating photosynthetically derived carbon belowground in exchange for n</w:t>
      </w:r>
      <w:r>
        <w:t>utrients</w:t>
      </w:r>
      <w:r>
        <w:t xml:space="preserve"> through different n</w:t>
      </w:r>
      <w:r>
        <w:t>utrient</w:t>
      </w:r>
      <w:r>
        <w:t xml:space="preserve"> acquisition strategies. These nutrient</w:t>
      </w:r>
      <w:r>
        <w:t xml:space="preserve"> </w:t>
      </w:r>
      <w:r>
        <w:t xml:space="preserve">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symbioses","type":"article-journal","volume":"64"},"uris":["http://www.mendeley.com/documents/?uuid=57ffd0b8-bd14-4c07-8d99-a513aed36ee6"]}],"mendeley":{"formattedCitation":"(Marschner &amp; Dell, 1994; S. E. Smith &amp; Read, 2008; Udvardi &amp; Poole, 2013; Vance &amp; Heichel, 1991)","plainTextFormattedCitation":"(Marschner &amp; Dell, 1994; S. E. Smith &amp; Read, 2008; Udvardi &amp; Poole, 2013; Vance &amp; Heichel, 1991)","previouslyFormattedCitation":"(Marschner &amp; Dell, 1994; S. E. Smith &amp; Read, 2008; Udvardi &amp; Poole, 2013; Vance &amp; Heichel, 1991)"},"properties":{"noteIndex":0},"schema":"https://github.com/citation-style-language/schema/raw/master/csl-citation.json"}</w:instrText>
      </w:r>
      <w:r>
        <w:fldChar w:fldCharType="separate"/>
      </w:r>
      <w:r w:rsidRPr="0049650C">
        <w:rPr>
          <w:noProof/>
        </w:rPr>
        <w:t>(Marschner &amp; Dell, 1994; S. E. Smith &amp; Read, 2008; Udvardi &amp; Poole, 2013; Vance &amp; Heichel, 1991)</w:t>
      </w:r>
      <w:r>
        <w:fldChar w:fldCharType="end"/>
      </w:r>
      <w:r>
        <w:t xml:space="preserve">, or </w:t>
      </w:r>
      <w:r>
        <w:t xml:space="preserve">through </w:t>
      </w:r>
      <w:r>
        <w:t>root exudat</w:t>
      </w:r>
      <w:r>
        <w:t>ion</w:t>
      </w:r>
      <w:r>
        <w:t xml:space="preserve"> that prime</w:t>
      </w:r>
      <w:r>
        <w:t>s</w:t>
      </w:r>
      <w:r>
        <w:t xml:space="preserve"> free-living soil microbial communities </w:t>
      </w:r>
      <w:r>
        <w:fldChar w:fldCharType="begin" w:fldLock="1"/>
      </w:r>
      <w:r>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et al., 2011; Wen et al., 2022)","plainTextFormattedCitation":"(Phillips et al., 2011; Wen et al., 2022)","previouslyFormattedCitation":"(Phillips et al., 2011; Wen et al., 2022)"},"properties":{"noteIndex":0},"schema":"https://github.com/citation-style-language/schema/raw/master/csl-citation.json"}</w:instrText>
      </w:r>
      <w:r>
        <w:fldChar w:fldCharType="separate"/>
      </w:r>
      <w:r w:rsidRPr="0049650C">
        <w:rPr>
          <w:noProof/>
        </w:rPr>
        <w:t>(Phillips et al., 2011; Wen et al., 2022)</w:t>
      </w:r>
      <w:r>
        <w:fldChar w:fldCharType="end"/>
      </w:r>
      <w:r>
        <w:t xml:space="preserve">. In principle, plants cannot acquire nitrogen without first allocating carbon belowground, which implies an inherent carbon cost to the plant for acquiring nitrogen regardless of nitrogen acquisition strategy. </w:t>
      </w:r>
      <w:r>
        <w:t xml:space="preserve">Carbon costs to acquire nitrogen often vary in species </w:t>
      </w:r>
      <w:r>
        <w:t>with different nitrogen acquisition strategies and are depend</w:t>
      </w:r>
      <w:r>
        <w:t>ent</w:t>
      </w:r>
      <w:r>
        <w:t xml:space="preserve"> on external environmental factors such as atmospheric CO</w:t>
      </w:r>
      <w:r>
        <w:rPr>
          <w:vertAlign w:val="subscript"/>
        </w:rPr>
        <w:t>2</w:t>
      </w:r>
      <w:r>
        <w:t xml:space="preserve">, light availability, and soil nutrient availability </w:t>
      </w:r>
      <w:r>
        <w:fldChar w:fldCharType="begin" w:fldLock="1"/>
      </w:r>
      <w:r>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effect","type":"article-journal","volume":"353"},"uris":["http://www.mendeley.com/documents/?uuid=e1738a48-9551-40a3-a598-8ed20c8cac64"]}],"mendeley":{"formattedCitation":"(Allen et al., 2020; Brzostek et al., 2014; Lu et al., 2022; Perkowski et al., 2021; Terrer et al., 2016, 2018)","plainTextFormattedCitation":"(Allen et al., 2020; Brzostek et al., 2014; Lu et al., 2022; Perkowski et al., 2021; Terrer et al., 2016, 2018)","previouslyFormattedCitation":"(Allen et al., 2020; Brzostek et al., 2014; Lu et al., 2022; Perkowski et al., 2021; Terrer et al., 2016, 2018)"},"properties":{"noteIndex":0},"schema":"https://github.com/citation-style-language/schema/raw/master/csl-citation.json"}</w:instrText>
      </w:r>
      <w:r>
        <w:fldChar w:fldCharType="separate"/>
      </w:r>
      <w:r w:rsidRPr="0049650C">
        <w:rPr>
          <w:noProof/>
        </w:rPr>
        <w:t>(Allen et al., 2020; Brzostek et al., 2014; Lu et al., 2022; Perkowski et al., 2021; Terrer et al., 2016, 2018)</w:t>
      </w:r>
      <w:r>
        <w:fldChar w:fldCharType="end"/>
      </w:r>
      <w:r>
        <w:t xml:space="preserve">. </w:t>
      </w:r>
      <w:r w:rsidR="00CE087E">
        <w:t xml:space="preserve">Impacts of nutrient acquisition strategy on leaf and whole plant acclimation responses are beginning to gain recognition </w:t>
      </w:r>
      <w:r w:rsidR="00CE087E">
        <w:fldChar w:fldCharType="begin" w:fldLock="1"/>
      </w:r>
      <w:r w:rsidR="00391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2016, 2018)","plainTextFormattedCitation":"(N. G. Smith &amp; Keenan, 2020; Terrer et al., 2016, 2018)","previouslyFormattedCitation":"(N. G. Smith &amp; Keenan, 2020; Terrer et al., 2016, 2018)"},"properties":{"noteIndex":0},"schema":"https://github.com/citation-style-language/schema/raw/master/csl-citation.json"}</w:instrText>
      </w:r>
      <w:r w:rsidR="00CE087E">
        <w:fldChar w:fldCharType="separate"/>
      </w:r>
      <w:r w:rsidR="00CE087E" w:rsidRPr="00CE087E">
        <w:rPr>
          <w:noProof/>
        </w:rPr>
        <w:t>(N. G. Smith &amp; Keenan, 2020; Terrer et al., 2016, 2018)</w:t>
      </w:r>
      <w:r w:rsidR="00CE087E">
        <w:fldChar w:fldCharType="end"/>
      </w:r>
      <w:r w:rsidR="00CE087E">
        <w:t>, although our understanding of how acquisition strategies modify effects of soil nutrient availability on such responses (or lack thereof) remains in its infancy.</w:t>
      </w:r>
    </w:p>
    <w:p w14:paraId="3ED877F7" w14:textId="67600B41" w:rsidR="00CA0B71" w:rsidRDefault="00CA0B71" w:rsidP="00CA0B71">
      <w:pPr>
        <w:spacing w:line="360" w:lineRule="auto"/>
        <w:ind w:firstLine="720"/>
      </w:pPr>
      <w:r>
        <w:t>Plant acclimation responses to elevated CO</w:t>
      </w:r>
      <w:r>
        <w:rPr>
          <w:vertAlign w:val="subscript"/>
        </w:rPr>
        <w:t>2</w:t>
      </w:r>
      <w:r>
        <w:t xml:space="preserve"> are complex, and divergent hypotheses regarding the role of soil nutrient availability and nutrient acquisition strategy in modifying these responses limit our ability to implement robust unified frameworks for including CO</w:t>
      </w:r>
      <w:r>
        <w:rPr>
          <w:vertAlign w:val="subscript"/>
        </w:rPr>
        <w:t>2</w:t>
      </w:r>
      <w:r>
        <w:t xml:space="preserve"> acclimation in terrestrial biosphere and Earth system models. To date, empirical tests of leaf and whole plant acclimation responses to elevated CO</w:t>
      </w:r>
      <w:r>
        <w:rPr>
          <w:vertAlign w:val="subscript"/>
        </w:rPr>
        <w:t>2</w:t>
      </w:r>
      <w:r>
        <w:t xml:space="preserve"> expected from photosynthetic least-cost theory are lacking, and no study investigating principles from the theory have investigated </w:t>
      </w:r>
      <w:r w:rsidR="00CE087E">
        <w:t xml:space="preserve">these </w:t>
      </w:r>
      <w:r>
        <w:t>acclimation responses across soil resource availability gradients</w:t>
      </w:r>
      <w:r w:rsidR="00CE087E">
        <w:t xml:space="preserve"> or while controlling for nutrient acquisition strategy</w:t>
      </w:r>
      <w:r>
        <w:t>.</w:t>
      </w:r>
    </w:p>
    <w:p w14:paraId="7A2B6491" w14:textId="66490573" w:rsidR="0055374C" w:rsidRDefault="00500DA3" w:rsidP="001D4A26">
      <w:pPr>
        <w:spacing w:line="36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w:t>
      </w:r>
      <w:r w:rsidR="00F70890">
        <w:lastRenderedPageBreak/>
        <w:t xml:space="preserve">elevated </w:t>
      </w:r>
      <w:r>
        <w:t>CO</w:t>
      </w:r>
      <w:r>
        <w:rPr>
          <w:vertAlign w:val="subscript"/>
        </w:rPr>
        <w:t>2</w:t>
      </w:r>
      <w:r>
        <w:t xml:space="preserve"> </w:t>
      </w:r>
      <w:r w:rsidR="00F70890">
        <w:t xml:space="preserve">by </w:t>
      </w:r>
      <w:r w:rsidR="00CA0B71">
        <w:t xml:space="preserve">more strongly </w:t>
      </w:r>
      <w:r w:rsidR="00F70890">
        <w:t>downregulating the maximum rate of Rubisco carboxylation</w:t>
      </w:r>
      <w:r w:rsidR="00CA0B71">
        <w:t xml:space="preserve"> relative to the maximum rate of RuBP regeneration, allowing optimal coordination of leaf photosynthesis.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DE2B27">
      <w:pPr>
        <w:spacing w:line="36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w:t>
      </w:r>
      <w:r w:rsidRPr="00FE014F">
        <w:lastRenderedPageBreak/>
        <w:t xml:space="preserve">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group of pots on the bottom rack of a chamber to the top </w:t>
      </w:r>
      <w:r w:rsidR="00E62AC7">
        <w:lastRenderedPageBreak/>
        <w:t>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DD81369" w:rsidR="00E71668" w:rsidRDefault="009914B7" w:rsidP="00DE2B27">
      <w:pPr>
        <w:spacing w:line="36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lastRenderedPageBreak/>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D96051" w:rsidRDefault="00BA3A8F" w:rsidP="00DE2B27">
      <w:pPr>
        <w:autoSpaceDE w:val="0"/>
        <w:autoSpaceDN w:val="0"/>
        <w:adjustRightInd w:val="0"/>
        <w:spacing w:line="360" w:lineRule="auto"/>
        <w:ind w:firstLine="720"/>
        <w:rPr>
          <w:color w:val="000000"/>
        </w:rPr>
      </w:pPr>
      <w:r w:rsidRPr="00D96051">
        <w:rPr>
          <w:color w:val="000000"/>
        </w:rPr>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A2687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DE2B27">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DE2B27">
      <w:pPr>
        <w:autoSpaceDE w:val="0"/>
        <w:autoSpaceDN w:val="0"/>
        <w:adjustRightInd w:val="0"/>
        <w:spacing w:line="36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DE2B27">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FDCCBB7" w:rsidR="00D96051" w:rsidRDefault="00D96051" w:rsidP="00DE2B27">
      <w:pPr>
        <w:autoSpaceDE w:val="0"/>
        <w:autoSpaceDN w:val="0"/>
        <w:adjustRightInd w:val="0"/>
        <w:spacing w:line="36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00DA258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Three separate gas samples from each chamber at each CO</w:t>
      </w:r>
      <w:r w:rsidR="0067614B">
        <w:rPr>
          <w:color w:val="000000"/>
          <w:vertAlign w:val="subscript"/>
        </w:rPr>
        <w:t>2</w:t>
      </w:r>
      <w:r w:rsidR="0067614B">
        <w:rPr>
          <w:color w:val="000000"/>
        </w:rPr>
        <w:t xml:space="preserve"> treatment were collected using a </w:t>
      </w:r>
      <w:r w:rsidR="00E71668">
        <w:rPr>
          <w:color w:val="000000"/>
        </w:rPr>
        <w:t>20mL syringe and inserted into an evacuated 12 mL Exetainer® (</w:t>
      </w:r>
      <w:proofErr w:type="spellStart"/>
      <w:r w:rsidR="00E71668">
        <w:rPr>
          <w:color w:val="000000"/>
        </w:rPr>
        <w:t>Labco</w:t>
      </w:r>
      <w:proofErr w:type="spellEnd"/>
      <w:r w:rsidR="00E71668">
        <w:rPr>
          <w:color w:val="000000"/>
        </w:rPr>
        <w:t>.,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lastRenderedPageBreak/>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39792BF8"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07F8C22C"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w:t>
      </w:r>
      <w:r w:rsidR="008F1A48" w:rsidRPr="00FE014F">
        <w:rPr>
          <w:color w:val="000000"/>
        </w:rPr>
        <w:lastRenderedPageBreak/>
        <w:t xml:space="preserve">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0B14578A"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lastRenderedPageBreak/>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391BFD">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economies","type":"article-journal","volume":"24"},"uris":["http://www.mendeley.com/documents/?uuid=40e8c158-e0e6-42ac-bc96-6a2d1831408e"]}],"mendeley":{"formattedCitation":"(Bialic‐Murphy et al., 2021; Paillassa et al., 2020; Prentice et al., 2014)","plainTextFormattedCitation":"(Bialic‐Murphy et al., 2021; Paillassa et al., 2020; Prentice et al., 2014)"},"properties":{"noteIndex":0},"schema":"https://github.com/citation-style-language/schema/raw/master/csl-citation.json"}</w:instrText>
      </w:r>
      <w:r w:rsidR="00391BFD">
        <w:rPr>
          <w:color w:val="000000" w:themeColor="text1"/>
          <w:highlight w:val="yellow"/>
        </w:rPr>
        <w:fldChar w:fldCharType="separate"/>
      </w:r>
      <w:r w:rsidR="00391BFD" w:rsidRPr="00391BFD">
        <w:rPr>
          <w:noProof/>
          <w:color w:val="000000" w:themeColor="text1"/>
          <w:highlight w:val="yellow"/>
        </w:rPr>
        <w:t>(Bialic‐Murphy et al., 2021; Paillassa et al., 2020; Prentice et al., 2014)</w:t>
      </w:r>
      <w:r w:rsidR="00391BFD">
        <w:rPr>
          <w:color w:val="000000" w:themeColor="text1"/>
          <w:highlight w:val="yellow"/>
        </w:rPr>
        <w:fldChar w:fldCharType="end"/>
      </w:r>
      <w:r w:rsidR="00391BFD">
        <w:rPr>
          <w:color w:val="000000" w:themeColor="text1"/>
          <w:highlight w:val="yellow"/>
        </w:rPr>
        <w:t>, to 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7040863D"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w:t>
      </w:r>
      <w:r w:rsidRPr="00FE014F">
        <w:lastRenderedPageBreak/>
        <w:t xml:space="preserve">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6674650"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w:t>
      </w:r>
      <w:r w:rsidR="0019627D">
        <w:lastRenderedPageBreak/>
        <w:t>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9449F5E"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xml:space="preserve">, while models for nodule biomass and nodule </w:t>
      </w:r>
      <w:proofErr w:type="spellStart"/>
      <w:proofErr w:type="gramStart"/>
      <w:r w:rsidR="00954F62">
        <w:t>biomass:root</w:t>
      </w:r>
      <w:proofErr w:type="spellEnd"/>
      <w:proofErr w:type="gramEnd"/>
      <w:r w:rsidR="00954F62">
        <w:t xml:space="preserve">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w:t>
      </w:r>
      <w:r w:rsidRPr="00FE014F">
        <w:lastRenderedPageBreak/>
        <w:t>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r w:rsidRPr="00FE014F">
        <w:rPr>
          <w:b/>
        </w:rPr>
        <w:lastRenderedPageBreak/>
        <w:t>Results</w:t>
      </w:r>
    </w:p>
    <w:p w14:paraId="2BB9080C" w14:textId="650F5A24" w:rsidR="003A66AF" w:rsidRPr="003A66AF" w:rsidRDefault="003A66AF" w:rsidP="00DE2B27">
      <w:pPr>
        <w:spacing w:line="360" w:lineRule="auto"/>
        <w:rPr>
          <w:bCs/>
        </w:rPr>
      </w:pPr>
      <w:r>
        <w:rPr>
          <w:bCs/>
          <w:i/>
          <w:iCs/>
        </w:rPr>
        <w:t>Leaf nitrogen content</w:t>
      </w:r>
    </w:p>
    <w:p w14:paraId="21A21A57" w14:textId="717CB5A8" w:rsidR="00530F50" w:rsidRPr="00184366" w:rsidRDefault="005265AD" w:rsidP="00DE2B27">
      <w:pPr>
        <w:spacing w:line="36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A)</w:t>
      </w:r>
      <w:r w:rsidR="00530F50">
        <w:rPr>
          <w:bCs/>
        </w:rPr>
        <w:t xml:space="preserve">,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530F50">
        <w:rPr>
          <w:bCs/>
        </w:rPr>
        <w:t xml:space="preserve">, and </w:t>
      </w:r>
      <w:r w:rsidR="00530F50">
        <w:rPr>
          <w:bCs/>
          <w:i/>
          <w:iCs/>
        </w:rPr>
        <w:t>M</w:t>
      </w:r>
      <w:r w:rsidR="00530F50">
        <w:rPr>
          <w:bCs/>
          <w:vertAlign w:val="subscript"/>
        </w:rPr>
        <w:t>area</w:t>
      </w:r>
      <w:r w:rsidR="00530F50">
        <w:rPr>
          <w:bCs/>
        </w:rPr>
        <w:t xml:space="preserve"> (Table 1; Fig. 1C)</w:t>
      </w:r>
      <w:r w:rsidR="003A66AF">
        <w:rPr>
          <w:bCs/>
        </w:rPr>
        <w:t xml:space="preserve">. </w:t>
      </w:r>
      <w:r w:rsidR="00530F50">
        <w:rPr>
          <w:bCs/>
        </w:rPr>
        <w:t xml:space="preserve">In all cases, the positive effect of increasing fertilization was stronger in uninoculated pots (Table 1, inoculation-by-fertilization interaction;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xml:space="preserve">: p&lt;0.001;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xml:space="preserve">: p&lt;0.001;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xml:space="preserve">: p=0.043). Additionally, the positive effect of increasing fertilization on </w:t>
      </w:r>
      <w:r w:rsidR="00530F50">
        <w:rPr>
          <w:bCs/>
          <w:i/>
          <w:iCs/>
        </w:rPr>
        <w:t>N</w:t>
      </w:r>
      <w:r w:rsidR="00530F50">
        <w:rPr>
          <w:bCs/>
          <w:vertAlign w:val="subscript"/>
        </w:rPr>
        <w:t>area</w:t>
      </w:r>
      <w:r w:rsidR="00530F50">
        <w:rPr>
          <w:bCs/>
        </w:rPr>
        <w:t xml:space="preserve"> and </w:t>
      </w:r>
      <w:r w:rsidR="00530F50">
        <w:rPr>
          <w:bCs/>
          <w:i/>
          <w:iCs/>
        </w:rPr>
        <w:t>N</w:t>
      </w:r>
      <w:r w:rsidR="00530F50">
        <w:rPr>
          <w:bCs/>
          <w:vertAlign w:val="subscript"/>
        </w:rPr>
        <w:t>mass</w:t>
      </w:r>
      <w:r w:rsidR="00530F50">
        <w:rPr>
          <w:bCs/>
        </w:rPr>
        <w:t xml:space="preserve"> was stronger under ambient CO</w:t>
      </w:r>
      <w:r w:rsidR="00530F50">
        <w:rPr>
          <w:bCs/>
          <w:vertAlign w:val="subscript"/>
        </w:rPr>
        <w:t>2</w:t>
      </w:r>
      <w:r w:rsidR="00DA2323">
        <w:rPr>
          <w:bCs/>
        </w:rPr>
        <w:t xml:space="preserve"> (</w:t>
      </w:r>
      <w:proofErr w:type="spellStart"/>
      <w:r w:rsidR="00DA2323">
        <w:rPr>
          <w:bCs/>
        </w:rPr>
        <w:t>Tukey</w:t>
      </w:r>
      <w:r w:rsidR="00DA2323" w:rsidRPr="005265AD">
        <w:rPr>
          <w:bCs/>
          <w:i/>
          <w:iCs/>
          <w:vertAlign w:val="subscript"/>
        </w:rPr>
        <w:t>N</w:t>
      </w:r>
      <w:r w:rsidR="00DA2323">
        <w:rPr>
          <w:bCs/>
          <w:vertAlign w:val="subscript"/>
        </w:rPr>
        <w:t>area</w:t>
      </w:r>
      <w:proofErr w:type="spellEnd"/>
      <w:r w:rsidR="00DA2323">
        <w:rPr>
          <w:bCs/>
        </w:rPr>
        <w:t xml:space="preserve">: p=0.001; </w:t>
      </w:r>
      <w:proofErr w:type="spellStart"/>
      <w:r w:rsidR="00DA2323">
        <w:rPr>
          <w:bCs/>
        </w:rPr>
        <w:t>Tukey</w:t>
      </w:r>
      <w:r w:rsidR="00DA2323" w:rsidRPr="005265AD">
        <w:rPr>
          <w:bCs/>
          <w:i/>
          <w:iCs/>
          <w:vertAlign w:val="subscript"/>
        </w:rPr>
        <w:t>N</w:t>
      </w:r>
      <w:r w:rsidR="00DA2323">
        <w:rPr>
          <w:bCs/>
          <w:vertAlign w:val="subscript"/>
        </w:rPr>
        <w:t>mass</w:t>
      </w:r>
      <w:proofErr w:type="spellEnd"/>
      <w:r w:rsidR="00DA2323">
        <w:rPr>
          <w:bCs/>
        </w:rPr>
        <w:t>: p&lt;0.001)</w:t>
      </w:r>
      <w:r w:rsidR="00375E1D">
        <w:rPr>
          <w:bCs/>
        </w:rPr>
        <w:t xml:space="preserve">, </w:t>
      </w:r>
      <w:r w:rsidR="00530F50">
        <w:rPr>
          <w:bCs/>
        </w:rPr>
        <w:t xml:space="preserve">while the positive effect of increasing fertilization on </w:t>
      </w:r>
      <w:r w:rsidR="00530F50">
        <w:rPr>
          <w:bCs/>
          <w:i/>
          <w:iCs/>
        </w:rPr>
        <w:t>M</w:t>
      </w:r>
      <w:r w:rsidR="00530F50">
        <w:rPr>
          <w:bCs/>
          <w:vertAlign w:val="subscript"/>
        </w:rPr>
        <w:t>area</w:t>
      </w:r>
      <w:r w:rsidR="00530F50">
        <w:rPr>
          <w:bCs/>
        </w:rPr>
        <w:t xml:space="preserve"> was stronger under elevated CO</w:t>
      </w:r>
      <w:r w:rsidR="00530F50">
        <w:rPr>
          <w:bCs/>
          <w:vertAlign w:val="subscript"/>
        </w:rPr>
        <w:t>2</w:t>
      </w:r>
      <w:r w:rsidR="00530F50">
        <w:rPr>
          <w:bCs/>
        </w:rPr>
        <w:t xml:space="preserve"> </w:t>
      </w:r>
      <w:r w:rsidR="00375E1D">
        <w:rPr>
          <w:bCs/>
        </w:rPr>
        <w:t>(Table 3, CO</w:t>
      </w:r>
      <w:r w:rsidR="00375E1D">
        <w:rPr>
          <w:bCs/>
          <w:vertAlign w:val="subscript"/>
        </w:rPr>
        <w:t>2</w:t>
      </w:r>
      <w:r w:rsidR="00375E1D">
        <w:rPr>
          <w:bCs/>
        </w:rPr>
        <w:t>-by-fertilization interaction; Tukey: p</w:t>
      </w:r>
      <w:r w:rsidR="00DA2323">
        <w:rPr>
          <w:bCs/>
        </w:rPr>
        <w:t>=</w:t>
      </w:r>
      <w:r w:rsidR="00375E1D">
        <w:rPr>
          <w:bCs/>
        </w:rPr>
        <w:t>0.0</w:t>
      </w:r>
      <w:r w:rsidR="00DA2323">
        <w:rPr>
          <w:bCs/>
        </w:rPr>
        <w:t>10</w:t>
      </w:r>
      <w:r w:rsidR="00375E1D">
        <w:rPr>
          <w:bCs/>
        </w:rPr>
        <w:t>).</w:t>
      </w:r>
      <w:r w:rsidR="00184366">
        <w:rPr>
          <w:bCs/>
        </w:rPr>
        <w:t xml:space="preserve"> Finally, an interaction between inoculation and CO</w:t>
      </w:r>
      <w:r w:rsidR="00184366">
        <w:rPr>
          <w:bCs/>
          <w:vertAlign w:val="subscript"/>
        </w:rPr>
        <w:t>2</w:t>
      </w:r>
      <w:r w:rsidR="00184366">
        <w:rPr>
          <w:bCs/>
        </w:rPr>
        <w:t xml:space="preserve"> concentration indicated that the general positive effect of inoculation on </w:t>
      </w:r>
      <w:r w:rsidR="00184366" w:rsidRPr="000E7383">
        <w:rPr>
          <w:bCs/>
          <w:i/>
          <w:iCs/>
        </w:rPr>
        <w:t>N</w:t>
      </w:r>
      <w:r w:rsidR="00184366" w:rsidRPr="000E7383">
        <w:rPr>
          <w:bCs/>
          <w:vertAlign w:val="subscript"/>
        </w:rPr>
        <w:t>area</w:t>
      </w:r>
      <w:r w:rsidR="00184366">
        <w:rPr>
          <w:bCs/>
        </w:rPr>
        <w:t xml:space="preserve"> was stronger under elevated CO</w:t>
      </w:r>
      <w:r w:rsidR="00184366">
        <w:rPr>
          <w:bCs/>
          <w:vertAlign w:val="subscript"/>
        </w:rPr>
        <w:t>2</w:t>
      </w:r>
      <w:r w:rsidR="00184366" w:rsidRPr="000E7383">
        <w:rPr>
          <w:bCs/>
        </w:rPr>
        <w:t xml:space="preserve"> (45% </w:t>
      </w:r>
      <w:r w:rsidR="00184366">
        <w:rPr>
          <w:bCs/>
        </w:rPr>
        <w:t>vs. 19% increase</w:t>
      </w:r>
      <w:r w:rsidR="00184366" w:rsidRPr="000E7383">
        <w:rPr>
          <w:bCs/>
        </w:rPr>
        <w:t>; Tukey: p&lt;0.001</w:t>
      </w:r>
      <w:r w:rsidR="00184366">
        <w:rPr>
          <w:bCs/>
        </w:rPr>
        <w:t xml:space="preserve"> in both cases</w:t>
      </w:r>
      <w:r w:rsidR="00184366" w:rsidRPr="000E7383">
        <w:rPr>
          <w:bCs/>
        </w:rPr>
        <w:t>)</w:t>
      </w:r>
      <w:r w:rsidR="00184366">
        <w:rPr>
          <w:bCs/>
        </w:rPr>
        <w:t xml:space="preserve">. </w:t>
      </w:r>
      <w:r w:rsidR="00184366">
        <w:rPr>
          <w:bCs/>
          <w:i/>
          <w:iCs/>
        </w:rPr>
        <w:t>N</w:t>
      </w:r>
      <w:r w:rsidR="00184366">
        <w:rPr>
          <w:bCs/>
          <w:vertAlign w:val="subscript"/>
        </w:rPr>
        <w:t>area</w:t>
      </w:r>
      <w:r w:rsidR="00184366">
        <w:rPr>
          <w:bCs/>
        </w:rPr>
        <w:t xml:space="preserve">, </w:t>
      </w:r>
      <w:r w:rsidR="00184366">
        <w:rPr>
          <w:bCs/>
          <w:i/>
          <w:iCs/>
        </w:rPr>
        <w:t>N</w:t>
      </w:r>
      <w:r w:rsidR="00184366">
        <w:rPr>
          <w:bCs/>
          <w:vertAlign w:val="subscript"/>
        </w:rPr>
        <w:t>mass</w:t>
      </w:r>
      <w:r w:rsidR="00184366">
        <w:rPr>
          <w:bCs/>
        </w:rPr>
        <w:t xml:space="preserve">, and </w:t>
      </w:r>
      <w:r w:rsidR="00184366">
        <w:rPr>
          <w:bCs/>
          <w:i/>
          <w:iCs/>
        </w:rPr>
        <w:t>M</w:t>
      </w:r>
      <w:r w:rsidR="00184366">
        <w:rPr>
          <w:bCs/>
          <w:vertAlign w:val="subscript"/>
        </w:rPr>
        <w:t>area</w:t>
      </w:r>
      <w:r w:rsidR="00184366">
        <w:rPr>
          <w:bCs/>
        </w:rPr>
        <w:t xml:space="preserve"> were each generally greater under elevated CO</w:t>
      </w:r>
      <w:r w:rsidR="00184366">
        <w:rPr>
          <w:bCs/>
          <w:vertAlign w:val="subscript"/>
        </w:rPr>
        <w:t>2</w:t>
      </w:r>
      <w:r w:rsidR="00184366">
        <w:rPr>
          <w:bCs/>
        </w:rPr>
        <w:t xml:space="preserve"> and in inoculated pots (Table 1).</w:t>
      </w:r>
    </w:p>
    <w:p w14:paraId="061B0197" w14:textId="740442AE" w:rsidR="005265AD" w:rsidRPr="005265AD" w:rsidRDefault="005265AD" w:rsidP="00DE2B27">
      <w:pPr>
        <w:spacing w:line="360" w:lineRule="auto"/>
        <w:ind w:firstLine="720"/>
        <w:rPr>
          <w:bCs/>
        </w:rPr>
      </w:pPr>
      <w:r>
        <w:rPr>
          <w:bCs/>
        </w:rPr>
        <w:t xml:space="preserve">Increasing fertilization </w:t>
      </w:r>
      <w:r w:rsidR="00184366">
        <w:rPr>
          <w:bCs/>
        </w:rPr>
        <w:t xml:space="preserve">also </w:t>
      </w:r>
      <w:r>
        <w:rPr>
          <w:bCs/>
        </w:rPr>
        <w:t xml:space="preserve">generally increased </w:t>
      </w:r>
      <w:proofErr w:type="spellStart"/>
      <w:r>
        <w:rPr>
          <w:bCs/>
          <w:i/>
          <w:iCs/>
        </w:rPr>
        <w:t>Chl</w:t>
      </w:r>
      <w:r>
        <w:rPr>
          <w:bCs/>
          <w:vertAlign w:val="subscript"/>
        </w:rPr>
        <w:t>area</w:t>
      </w:r>
      <w:proofErr w:type="spellEnd"/>
      <w:r>
        <w:rPr>
          <w:bCs/>
        </w:rPr>
        <w:t xml:space="preserve"> (Table 3; Fig. 3D),</w:t>
      </w:r>
      <w:r w:rsidR="00184366">
        <w:rPr>
          <w:bCs/>
        </w:rPr>
        <w:t xml:space="preserve"> but this pattern was generally stronger in uninoculated pots</w:t>
      </w:r>
      <w:r>
        <w:rPr>
          <w:bCs/>
        </w:rPr>
        <w:t xml:space="preserve"> (Table 3, inoculation-by-fertilization interaction; Tukey: p&lt;0.001).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proofErr w:type="spellStart"/>
      <w:r>
        <w:rPr>
          <w:bCs/>
          <w:i/>
          <w:iCs/>
        </w:rPr>
        <w:t>Chl</w:t>
      </w:r>
      <w:r>
        <w:rPr>
          <w:bCs/>
          <w:vertAlign w:val="subscript"/>
        </w:rPr>
        <w:t>area</w:t>
      </w:r>
      <w:proofErr w:type="spellEnd"/>
      <w:r>
        <w:rPr>
          <w:bCs/>
        </w:rPr>
        <w:t xml:space="preserve"> was generally </w:t>
      </w:r>
      <w:r w:rsidR="00376F21">
        <w:rPr>
          <w:bCs/>
        </w:rPr>
        <w:t>decreased</w:t>
      </w:r>
      <w:r>
        <w:rPr>
          <w:bCs/>
        </w:rPr>
        <w:t xml:space="preserve"> under elevated CO</w:t>
      </w:r>
      <w:r>
        <w:rPr>
          <w:bCs/>
          <w:vertAlign w:val="subscript"/>
        </w:rPr>
        <w:t>2</w:t>
      </w:r>
      <w:r>
        <w:rPr>
          <w:bCs/>
        </w:rPr>
        <w:t xml:space="preserve"> and in uninoculated pots (Table 3).</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101D3E51" w:rsidR="001861D2" w:rsidRDefault="005C3139" w:rsidP="00DE2B27">
      <w:pPr>
        <w:spacing w:line="360" w:lineRule="auto"/>
        <w:rPr>
          <w:b/>
        </w:rPr>
      </w:pPr>
      <w:r>
        <w:rPr>
          <w:b/>
          <w:noProof/>
        </w:rPr>
        <w:drawing>
          <wp:inline distT="0" distB="0" distL="0" distR="0" wp14:anchorId="4CEC62F8" wp14:editId="70E9E489">
            <wp:extent cx="5943600" cy="39624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6242ED94" w:rsidR="00F06C56" w:rsidRDefault="00CD6CA5" w:rsidP="00DE2B27">
      <w:pPr>
        <w:spacing w:line="360" w:lineRule="auto"/>
        <w:rPr>
          <w:bCs/>
        </w:rPr>
      </w:pPr>
      <w:r>
        <w:rPr>
          <w:b/>
        </w:rPr>
        <w:t>Fig</w:t>
      </w:r>
      <w:r w:rsidR="00F06C56">
        <w:rPr>
          <w:b/>
        </w:rPr>
        <w:t>ure 1</w:t>
      </w:r>
      <w:r w:rsidR="00F06C56">
        <w:rPr>
          <w:bCs/>
        </w:rPr>
        <w:t xml:space="preserve"> Effects of nitrogen fertilization, inoculation treatment, and CO</w:t>
      </w:r>
      <w:r w:rsidR="00F06C56">
        <w:rPr>
          <w:bCs/>
          <w:vertAlign w:val="subscript"/>
        </w:rPr>
        <w:t>2</w:t>
      </w:r>
      <w:r w:rsidR="00F06C56">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sidR="00F06C56">
        <w:rPr>
          <w:bCs/>
          <w:vertAlign w:val="subscript"/>
        </w:rPr>
        <w:t>2</w:t>
      </w:r>
      <w:r w:rsidR="00F06C56">
        <w:rPr>
          <w:bCs/>
        </w:rPr>
        <w:t>, blue points and trendlines indicate uninoculated individuals grown under ambient CO</w:t>
      </w:r>
      <w:r w:rsidR="00F06C56">
        <w:rPr>
          <w:bCs/>
          <w:vertAlign w:val="subscript"/>
        </w:rPr>
        <w:t>2</w:t>
      </w:r>
      <w:r w:rsidR="00F06C56">
        <w:rPr>
          <w:bCs/>
        </w:rPr>
        <w:t>, red points and trendlines indicate inoculated individuals grown under elevated CO</w:t>
      </w:r>
      <w:r w:rsidR="00F06C56">
        <w:rPr>
          <w:bCs/>
          <w:vertAlign w:val="subscript"/>
        </w:rPr>
        <w:t>2</w:t>
      </w:r>
      <w:r w:rsidR="00F06C56">
        <w:rPr>
          <w:bCs/>
        </w:rPr>
        <w:t>, and grey points indicate uninoculated individuals grown under elevated CO</w:t>
      </w:r>
      <w:r w:rsidR="00F06C56">
        <w:rPr>
          <w:bCs/>
          <w:vertAlign w:val="subscript"/>
        </w:rPr>
        <w:t>2</w:t>
      </w:r>
      <w:r w:rsidR="00F06C56">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271EBE04" w14:textId="5B2B7D2E" w:rsidR="00B66115" w:rsidRPr="00B66115" w:rsidRDefault="00B66115" w:rsidP="00DE2B27">
      <w:pPr>
        <w:spacing w:line="36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w:t>
      </w:r>
      <w:r w:rsidR="00BC1341">
        <w:rPr>
          <w:bCs/>
        </w:rPr>
        <w:t>2</w:t>
      </w:r>
      <w:r w:rsidR="007076C3">
        <w:rPr>
          <w:bCs/>
        </w:rPr>
        <w:t>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BC1341">
        <w:rPr>
          <w:bCs/>
        </w:rPr>
        <w:t>C</w:t>
      </w:r>
      <w:r w:rsidR="007076C3">
        <w:rPr>
          <w:bCs/>
        </w:rPr>
        <w:t>),</w:t>
      </w:r>
      <w:r>
        <w:rPr>
          <w:bCs/>
        </w:rPr>
        <w:t xml:space="preserve"> although this effect was only apparent in uninoculated pots (Table </w:t>
      </w:r>
      <w:r w:rsidR="005D1ED2">
        <w:rPr>
          <w:bCs/>
        </w:rPr>
        <w:t>2</w:t>
      </w:r>
      <w:r>
        <w:rPr>
          <w:bCs/>
        </w:rPr>
        <w:t xml:space="preserve">, inoculation-by-fertilization interaction; Tukey: p&lt;0.001 in </w:t>
      </w:r>
      <w:r w:rsidR="00184366">
        <w:rPr>
          <w:bCs/>
        </w:rPr>
        <w:t>all</w:t>
      </w:r>
      <w:r>
        <w:rPr>
          <w:bCs/>
        </w:rPr>
        <w:t xml:space="preserve"> cases). </w:t>
      </w:r>
      <w:r w:rsidR="00287B75">
        <w:rPr>
          <w:bCs/>
        </w:rPr>
        <w:t xml:space="preserve">There was no difference in the effect of fertilization on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between CO</w:t>
      </w:r>
      <w:r w:rsidR="00287B75">
        <w:rPr>
          <w:bCs/>
          <w:vertAlign w:val="subscript"/>
        </w:rPr>
        <w:t>2</w:t>
      </w:r>
      <w:r w:rsidR="00287B75">
        <w:rPr>
          <w:bCs/>
        </w:rPr>
        <w:t xml:space="preserve"> treatments despite an apparent general downregulation in </w:t>
      </w:r>
      <w:r w:rsidR="00530F50">
        <w:rPr>
          <w:bCs/>
          <w:i/>
          <w:iCs/>
        </w:rPr>
        <w:t>V</w:t>
      </w:r>
      <w:r w:rsidR="00530F50">
        <w:rPr>
          <w:bCs/>
          <w:vertAlign w:val="subscript"/>
        </w:rPr>
        <w:t>cmax25</w:t>
      </w:r>
      <w:r w:rsidR="00530F50">
        <w:rPr>
          <w:bCs/>
        </w:rPr>
        <w:t xml:space="preserve"> and </w:t>
      </w:r>
      <w:r w:rsidR="00530F50">
        <w:rPr>
          <w:bCs/>
          <w:i/>
          <w:iCs/>
        </w:rPr>
        <w:t>J</w:t>
      </w:r>
      <w:r w:rsidR="00530F50">
        <w:rPr>
          <w:bCs/>
          <w:vertAlign w:val="subscript"/>
        </w:rPr>
        <w:t>max25</w:t>
      </w:r>
      <w:r w:rsidR="00530F50">
        <w:rPr>
          <w:bCs/>
        </w:rPr>
        <w:t xml:space="preserve"> under elevated CO</w:t>
      </w:r>
      <w:r w:rsidR="00530F50">
        <w:rPr>
          <w:bCs/>
          <w:vertAlign w:val="subscript"/>
        </w:rPr>
        <w:t>2</w:t>
      </w:r>
      <w:r w:rsidR="00530F50">
        <w:rPr>
          <w:bCs/>
        </w:rPr>
        <w:t xml:space="preserve"> (Table 2).</w:t>
      </w:r>
      <w:r w:rsidR="00287B75">
        <w:rPr>
          <w:bCs/>
        </w:rPr>
        <w:t xml:space="preserve">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were generally </w:t>
      </w:r>
      <w:r w:rsidR="00376F21">
        <w:rPr>
          <w:bCs/>
        </w:rPr>
        <w:t>greater</w:t>
      </w:r>
      <w:r w:rsidR="00287B75">
        <w:rPr>
          <w:bCs/>
        </w:rPr>
        <w:t xml:space="preserve"> in inoculated pots</w:t>
      </w:r>
      <w:r>
        <w:rPr>
          <w:bCs/>
        </w:rPr>
        <w:t xml:space="preserve"> (Table 2).</w:t>
      </w:r>
    </w:p>
    <w:p w14:paraId="239EB254" w14:textId="10426A37" w:rsidR="00B66115" w:rsidRDefault="00B66115" w:rsidP="00DE2B27">
      <w:pPr>
        <w:spacing w:line="36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sidR="00BC1341">
        <w:rPr>
          <w:bCs/>
        </w:rPr>
        <w:t xml:space="preserve"> (Fig. 2D)</w:t>
      </w:r>
      <w:r>
        <w:rPr>
          <w:bCs/>
        </w:rPr>
        <w:t xml:space="preserve">, a pattern that was </w:t>
      </w:r>
      <w:r w:rsidR="00287B75">
        <w:rPr>
          <w:bCs/>
        </w:rPr>
        <w:t xml:space="preserve">generally </w:t>
      </w:r>
      <w:r>
        <w:rPr>
          <w:bCs/>
        </w:rPr>
        <w:t>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w:t>
      </w:r>
      <w:r w:rsidR="00376F21">
        <w:rPr>
          <w:bCs/>
        </w:rPr>
        <w:t>greater</w:t>
      </w:r>
      <w:r>
        <w:rPr>
          <w:bCs/>
        </w:rPr>
        <w:t xml:space="preserve"> under elevated CO</w:t>
      </w:r>
      <w:r>
        <w:rPr>
          <w:bCs/>
          <w:vertAlign w:val="subscript"/>
        </w:rPr>
        <w:t>2</w:t>
      </w:r>
      <w:r>
        <w:rPr>
          <w:bCs/>
        </w:rPr>
        <w:t xml:space="preserve"> and</w:t>
      </w:r>
      <w:r w:rsidR="00376F21">
        <w:rPr>
          <w:bCs/>
        </w:rPr>
        <w:t xml:space="preserve"> reduced</w:t>
      </w:r>
      <w:r>
        <w:rPr>
          <w:bCs/>
        </w:rPr>
        <w:t xml:space="preserve"> in inoculated pots (Table </w:t>
      </w:r>
      <w:r w:rsidR="00BC1341">
        <w:rPr>
          <w:bCs/>
        </w:rPr>
        <w:t>2</w:t>
      </w:r>
      <w:r>
        <w:rPr>
          <w:bCs/>
        </w:rPr>
        <w:t>).</w:t>
      </w:r>
    </w:p>
    <w:p w14:paraId="4D5BEDBD" w14:textId="688F205C" w:rsidR="00B66115" w:rsidRPr="00B66115" w:rsidRDefault="00B66115" w:rsidP="00DE2B27">
      <w:pPr>
        <w:spacing w:line="360" w:lineRule="auto"/>
        <w:ind w:firstLine="720"/>
        <w:rPr>
          <w:bCs/>
        </w:rPr>
      </w:pPr>
      <w:r>
        <w:rPr>
          <w:bCs/>
        </w:rPr>
        <w:t xml:space="preserve">While there was no </w:t>
      </w:r>
      <w:r w:rsidR="00287B75">
        <w:rPr>
          <w:bCs/>
        </w:rPr>
        <w:t>general</w:t>
      </w:r>
      <w:r>
        <w:rPr>
          <w:bCs/>
        </w:rPr>
        <w:t xml:space="preserve"> effect of fertilization on </w:t>
      </w:r>
      <w:proofErr w:type="spellStart"/>
      <w:r w:rsidR="007076C3">
        <w:rPr>
          <w:bCs/>
          <w:i/>
          <w:iCs/>
        </w:rPr>
        <w:t>g</w:t>
      </w:r>
      <w:r w:rsidR="007076C3">
        <w:rPr>
          <w:bCs/>
          <w:vertAlign w:val="subscript"/>
        </w:rPr>
        <w:t>sw</w:t>
      </w:r>
      <w:proofErr w:type="spellEnd"/>
      <w:r>
        <w:rPr>
          <w:bCs/>
        </w:rPr>
        <w:t xml:space="preserve"> (Table </w:t>
      </w:r>
      <w:r w:rsidR="005D1ED2">
        <w:rPr>
          <w:bCs/>
        </w:rPr>
        <w:t>2</w:t>
      </w:r>
      <w:r>
        <w:rPr>
          <w:bCs/>
        </w:rPr>
        <w:t xml:space="preserve">),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w:t>
      </w:r>
      <w:r w:rsidR="00287B75">
        <w:rPr>
          <w:bCs/>
        </w:rPr>
        <w:t>There was no apparent interaction between fertilization and CO</w:t>
      </w:r>
      <w:r w:rsidR="00287B75">
        <w:rPr>
          <w:bCs/>
          <w:vertAlign w:val="subscript"/>
        </w:rPr>
        <w:t>2</w:t>
      </w:r>
      <w:r w:rsidR="00287B75">
        <w:rPr>
          <w:bCs/>
        </w:rPr>
        <w:t xml:space="preserve"> or between CO</w:t>
      </w:r>
      <w:r w:rsidR="00287B75">
        <w:rPr>
          <w:bCs/>
          <w:vertAlign w:val="subscript"/>
        </w:rPr>
        <w:t>2</w:t>
      </w:r>
      <w:r w:rsidR="00287B75">
        <w:rPr>
          <w:bCs/>
        </w:rPr>
        <w:t xml:space="preserve"> and inoculation, although </w:t>
      </w:r>
      <w:proofErr w:type="spellStart"/>
      <w:r w:rsidRPr="000E7383">
        <w:rPr>
          <w:bCs/>
          <w:i/>
          <w:iCs/>
        </w:rPr>
        <w:t>g</w:t>
      </w:r>
      <w:r w:rsidRPr="000E7383">
        <w:rPr>
          <w:bCs/>
          <w:vertAlign w:val="subscript"/>
        </w:rPr>
        <w:t>sw</w:t>
      </w:r>
      <w:proofErr w:type="spellEnd"/>
      <w:r>
        <w:rPr>
          <w:bCs/>
        </w:rPr>
        <w:t xml:space="preserve"> was generally </w:t>
      </w:r>
      <w:r w:rsidR="00376F21">
        <w:rPr>
          <w:bCs/>
        </w:rPr>
        <w:t>reduced</w:t>
      </w:r>
      <w:r>
        <w:rPr>
          <w:bCs/>
        </w:rPr>
        <w:t xml:space="preserve"> under elevated CO</w:t>
      </w:r>
      <w:r>
        <w:rPr>
          <w:bCs/>
          <w:vertAlign w:val="subscript"/>
        </w:rPr>
        <w:t>2</w:t>
      </w:r>
      <w:r>
        <w:rPr>
          <w:bCs/>
        </w:rPr>
        <w:t xml:space="preserve"> and </w:t>
      </w:r>
      <w:r w:rsidR="00376F21">
        <w:rPr>
          <w:bCs/>
        </w:rPr>
        <w:t>greater</w:t>
      </w:r>
      <w:r>
        <w:rPr>
          <w:bCs/>
        </w:rPr>
        <w:t xml:space="preserve"> in inoculated pots (Table </w:t>
      </w:r>
      <w:r w:rsidR="005D1ED2">
        <w:rPr>
          <w:bCs/>
        </w:rPr>
        <w:t>2</w:t>
      </w:r>
      <w:r>
        <w:rPr>
          <w:bCs/>
        </w:rPr>
        <w:t>)</w:t>
      </w:r>
      <w:r w:rsidR="007076C3">
        <w:rPr>
          <w:bCs/>
        </w:rPr>
        <w:t>.</w:t>
      </w:r>
    </w:p>
    <w:p w14:paraId="5A30E692" w14:textId="1061B850" w:rsidR="00F06C56" w:rsidRDefault="00B66115" w:rsidP="00DE2B27">
      <w:pPr>
        <w:spacing w:line="360" w:lineRule="auto"/>
        <w:ind w:firstLine="720"/>
        <w:rPr>
          <w:bCs/>
        </w:rPr>
      </w:pPr>
      <w:r>
        <w:rPr>
          <w:bCs/>
        </w:rPr>
        <w:t>Increasing fertilization generally increased stomatal limitation, with no apparent interaction between fertilization and inoculation or CO</w:t>
      </w:r>
      <w:r>
        <w:rPr>
          <w:bCs/>
          <w:vertAlign w:val="subscript"/>
        </w:rPr>
        <w:t>2</w:t>
      </w:r>
      <w:r>
        <w:rPr>
          <w:bCs/>
        </w:rPr>
        <w:t xml:space="preserve"> (Table </w:t>
      </w:r>
      <w:r w:rsidR="005D1ED2">
        <w:rPr>
          <w:bCs/>
        </w:rPr>
        <w:t>2</w:t>
      </w:r>
      <w:r>
        <w:rPr>
          <w:bCs/>
        </w:rPr>
        <w:t xml:space="preserve">). Inoculation generally increased stomatal limitation (Table </w:t>
      </w:r>
      <w:r w:rsidR="005D1ED2">
        <w:rPr>
          <w:bCs/>
        </w:rPr>
        <w:t>2</w:t>
      </w:r>
      <w:r>
        <w:rPr>
          <w:bCs/>
        </w:rPr>
        <w:t>), a pattern that was only apparent under ambient CO</w:t>
      </w:r>
      <w:r>
        <w:rPr>
          <w:bCs/>
          <w:vertAlign w:val="subscript"/>
        </w:rPr>
        <w:t>2</w:t>
      </w:r>
      <w:r>
        <w:rPr>
          <w:bCs/>
        </w:rPr>
        <w:t xml:space="preserve"> (Table </w:t>
      </w:r>
      <w:r w:rsidR="00BC1341">
        <w:rPr>
          <w:bCs/>
        </w:rPr>
        <w:t>2</w:t>
      </w:r>
      <w:r>
        <w:rPr>
          <w:bCs/>
        </w:rPr>
        <w:t xml:space="preserve">, </w:t>
      </w:r>
      <w:r w:rsidR="00287B75">
        <w:rPr>
          <w:bCs/>
        </w:rPr>
        <w:t xml:space="preserve">marginal </w:t>
      </w:r>
      <w:r>
        <w:rPr>
          <w:bCs/>
        </w:rPr>
        <w:t>CO</w:t>
      </w:r>
      <w:r>
        <w:rPr>
          <w:bCs/>
          <w:vertAlign w:val="subscript"/>
        </w:rPr>
        <w:t>2</w:t>
      </w:r>
      <w:r w:rsidR="007076C3">
        <w:rPr>
          <w:bCs/>
        </w:rPr>
        <w:t>-by-</w:t>
      </w:r>
      <w:r>
        <w:rPr>
          <w:bCs/>
        </w:rPr>
        <w:t>inoculation interaction; Tukey: p=0.016).</w:t>
      </w:r>
      <w:r w:rsidR="00287B75">
        <w:rPr>
          <w:bCs/>
        </w:rPr>
        <w:t xml:space="preserve"> Despite this, there was no apparent general effect of CO</w:t>
      </w:r>
      <w:r w:rsidR="00287B75">
        <w:rPr>
          <w:bCs/>
          <w:vertAlign w:val="subscript"/>
        </w:rPr>
        <w:t>2</w:t>
      </w:r>
      <w:r w:rsidR="00287B75">
        <w:rPr>
          <w:bCs/>
        </w:rPr>
        <w:t xml:space="preserve"> treatment on stomatal limitation (Table 2).</w:t>
      </w: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3468CA79" w:rsidR="002F24E0" w:rsidRPr="002F24E0" w:rsidRDefault="002F24E0" w:rsidP="002F24E0">
            <w:pPr>
              <w:spacing w:line="276" w:lineRule="auto"/>
              <w:jc w:val="right"/>
              <w:rPr>
                <w:color w:val="000000"/>
              </w:rPr>
            </w:pPr>
            <w:r w:rsidRPr="002F24E0">
              <w:rPr>
                <w:color w:val="000000"/>
              </w:rPr>
              <w:t>8.26</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3493E635" w:rsidR="00B66115" w:rsidRDefault="005C3139" w:rsidP="00DE2B27">
      <w:pPr>
        <w:spacing w:line="360" w:lineRule="auto"/>
        <w:rPr>
          <w:b/>
        </w:rPr>
      </w:pPr>
      <w:r>
        <w:rPr>
          <w:b/>
          <w:noProof/>
        </w:rPr>
        <w:drawing>
          <wp:inline distT="0" distB="0" distL="0" distR="0" wp14:anchorId="28F33CFF" wp14:editId="7A873D07">
            <wp:extent cx="5943600" cy="39624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4AD2C51" w14:textId="653C5415" w:rsidR="00B66115" w:rsidRPr="007076C3" w:rsidRDefault="007076C3" w:rsidP="00DE2B27">
      <w:pPr>
        <w:spacing w:line="360" w:lineRule="auto"/>
        <w:rPr>
          <w:bCs/>
        </w:rPr>
      </w:pPr>
      <w:r>
        <w:rPr>
          <w:b/>
        </w:rPr>
        <w:t xml:space="preserve">Figure </w:t>
      </w:r>
      <w:r w:rsidR="00BC1341">
        <w:rPr>
          <w:b/>
        </w:rPr>
        <w:t>2</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w:t>
      </w:r>
      <w:r w:rsidR="00BC1341">
        <w:rPr>
          <w:bCs/>
        </w:rPr>
        <w:t xml:space="preserve">dark respiration (panel </w:t>
      </w:r>
      <w:r w:rsidR="00287B75">
        <w:rPr>
          <w:bCs/>
        </w:rPr>
        <w:t>C</w:t>
      </w:r>
      <w:r w:rsidR="00BC1341">
        <w:rPr>
          <w:bCs/>
        </w:rPr>
        <w:t xml:space="preserve">), and </w:t>
      </w:r>
      <w:r w:rsidRPr="004177E2">
        <w:rPr>
          <w:bCs/>
        </w:rPr>
        <w:t xml:space="preserve">the ratio of the maximum rate of RuBP regeneration to the maximum rate of Rubisco carboxylation (panel </w:t>
      </w:r>
      <w:r w:rsidR="00BC1341">
        <w:rPr>
          <w:bCs/>
        </w:rPr>
        <w:t>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29CEE98C" w14:textId="61B7A39D" w:rsidR="00571302" w:rsidRDefault="00571302" w:rsidP="00DE2B27">
      <w:pPr>
        <w:spacing w:line="36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sidR="00287B75">
        <w:rPr>
          <w:color w:val="000000"/>
        </w:rPr>
        <w:t xml:space="preserve"> CO</w:t>
      </w:r>
      <w:r w:rsidR="00287B75">
        <w:rPr>
          <w:color w:val="000000"/>
          <w:vertAlign w:val="subscript"/>
        </w:rPr>
        <w:t>2</w:t>
      </w:r>
      <w:r w:rsidR="00287B75">
        <w:rPr>
          <w:color w:val="000000"/>
        </w:rPr>
        <w:t xml:space="preserve"> treatment did not modify the effect of fertilization or the positive general effect of inoculation on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although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were generally</w:t>
      </w:r>
      <w:r w:rsidR="00C05A1D">
        <w:rPr>
          <w:color w:val="000000"/>
        </w:rPr>
        <w:t xml:space="preserve"> greater</w:t>
      </w:r>
      <w:r w:rsidR="00287B75">
        <w:rPr>
          <w:color w:val="000000"/>
        </w:rPr>
        <w:t xml:space="preserve"> under </w:t>
      </w:r>
      <w:r w:rsidR="00475A2D">
        <w:rPr>
          <w:color w:val="000000"/>
        </w:rPr>
        <w:t>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32A5F130" w:rsidR="00571302" w:rsidRDefault="005D1ED2" w:rsidP="00DE2B27">
      <w:pPr>
        <w:spacing w:line="36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 negative effect of increasing fertilization </w:t>
      </w:r>
      <w:r w:rsidR="00C05A1D">
        <w:rPr>
          <w:color w:val="000000"/>
        </w:rPr>
        <w:t xml:space="preserve">in </w:t>
      </w:r>
      <w:r w:rsidR="00475A2D">
        <w:rPr>
          <w:color w:val="000000"/>
        </w:rPr>
        <w:t xml:space="preserve">inoculated pots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w:t>
      </w:r>
      <w:r w:rsidR="00287B75">
        <w:rPr>
          <w:color w:val="000000"/>
        </w:rPr>
        <w:t>ull</w:t>
      </w:r>
      <w:r w:rsidR="00571302">
        <w:rPr>
          <w:color w:val="000000"/>
        </w:rPr>
        <w:t xml:space="preserve"> effect</w:t>
      </w:r>
      <w:r w:rsidR="00C05A1D">
        <w:rPr>
          <w:color w:val="000000"/>
        </w:rPr>
        <w:t xml:space="preserve"> of fertilization</w:t>
      </w:r>
      <w:r w:rsidR="00571302">
        <w:rPr>
          <w:color w:val="000000"/>
        </w:rPr>
        <w:t xml:space="preserve"> </w:t>
      </w:r>
      <w:r w:rsidR="00C05A1D">
        <w:rPr>
          <w:color w:val="000000"/>
        </w:rPr>
        <w:t>in</w:t>
      </w:r>
      <w:r w:rsidR="00475A2D">
        <w:rPr>
          <w:color w:val="000000"/>
        </w:rPr>
        <w:t xml:space="preserve"> </w:t>
      </w:r>
      <w:r w:rsidR="00571302">
        <w:rPr>
          <w:color w:val="000000"/>
        </w:rPr>
        <w:t xml:space="preserve">inoculated pots 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C05A1D">
        <w:rPr>
          <w:color w:val="000000"/>
        </w:rPr>
        <w:t xml:space="preserve"> Despite this, CO</w:t>
      </w:r>
      <w:r w:rsidR="00C05A1D">
        <w:rPr>
          <w:color w:val="000000"/>
          <w:vertAlign w:val="subscript"/>
        </w:rPr>
        <w:t>2</w:t>
      </w:r>
      <w:r w:rsidR="00C05A1D">
        <w:rPr>
          <w:color w:val="000000"/>
        </w:rPr>
        <w:t xml:space="preserve"> concentration did not modify the general positive effect of fertilization or inoculation on </w:t>
      </w:r>
      <w:r w:rsidR="00C05A1D" w:rsidRPr="000E7383">
        <w:rPr>
          <w:i/>
          <w:iCs/>
          <w:color w:val="000000"/>
          <w:lang w:val="el-GR"/>
        </w:rPr>
        <w:t>ρ</w:t>
      </w:r>
      <w:r w:rsidR="00C05A1D" w:rsidRPr="000E7383">
        <w:rPr>
          <w:color w:val="000000"/>
          <w:vertAlign w:val="subscript"/>
        </w:rPr>
        <w:t>light</w:t>
      </w:r>
      <w:r w:rsidR="00C05A1D">
        <w:rPr>
          <w:color w:val="000000"/>
        </w:rPr>
        <w:t xml:space="preserve">, although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w:t>
      </w:r>
      <w:r w:rsidR="00C05A1D">
        <w:rPr>
          <w:color w:val="000000"/>
        </w:rPr>
        <w:t>greater</w:t>
      </w:r>
      <w:r w:rsidR="00571302">
        <w:rPr>
          <w:color w:val="000000"/>
        </w:rPr>
        <w:t xml:space="preserve"> under elevated CO</w:t>
      </w:r>
      <w:r w:rsidR="00571302">
        <w:rPr>
          <w:color w:val="000000"/>
          <w:vertAlign w:val="subscript"/>
        </w:rPr>
        <w:t>2</w:t>
      </w:r>
      <w:r w:rsidR="00571302">
        <w:rPr>
          <w:color w:val="000000"/>
        </w:rPr>
        <w:t xml:space="preserve"> (Table 5).</w:t>
      </w:r>
    </w:p>
    <w:p w14:paraId="66526D4E" w14:textId="466A337E" w:rsidR="00571302" w:rsidRDefault="00571302" w:rsidP="00DE2B27">
      <w:pPr>
        <w:spacing w:line="36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sidR="00CD6CA5">
        <w:rPr>
          <w:color w:val="000000"/>
        </w:rPr>
        <w:t>A</w:t>
      </w:r>
      <w:r w:rsidRPr="000E7383">
        <w:rPr>
          <w:color w:val="000000"/>
        </w:rPr>
        <w:t>)</w:t>
      </w:r>
      <w:r>
        <w:rPr>
          <w:color w:val="000000"/>
        </w:rPr>
        <w:t>, a pattern that was only observed in inoculated pots</w:t>
      </w:r>
      <w:r w:rsidR="00475A2D">
        <w:rPr>
          <w:color w:val="000000"/>
        </w:rPr>
        <w:t xml:space="preserve"> </w:t>
      </w:r>
      <w:r>
        <w:rPr>
          <w:color w:val="000000"/>
        </w:rPr>
        <w:t xml:space="preserve">(Table </w:t>
      </w:r>
      <w:r w:rsidR="00F1123A">
        <w:rPr>
          <w:color w:val="000000"/>
        </w:rPr>
        <w:t>3</w:t>
      </w:r>
      <w:r>
        <w:rPr>
          <w:color w:val="000000"/>
        </w:rPr>
        <w:t>; inoculation-by-fertilization interaction; Tukey: p&lt;0.001)</w:t>
      </w:r>
      <w:r w:rsidR="00475A2D">
        <w:rPr>
          <w:color w:val="000000"/>
        </w:rPr>
        <w:t>.</w:t>
      </w:r>
      <w:r w:rsidR="00C05A1D">
        <w:rPr>
          <w:color w:val="000000"/>
        </w:rPr>
        <w:t xml:space="preserve"> CO</w:t>
      </w:r>
      <w:r w:rsidR="00C05A1D">
        <w:rPr>
          <w:color w:val="000000"/>
          <w:vertAlign w:val="subscript"/>
        </w:rPr>
        <w:t>2</w:t>
      </w:r>
      <w:r w:rsidR="00C05A1D">
        <w:rPr>
          <w:color w:val="000000"/>
        </w:rPr>
        <w:t xml:space="preserve"> concentration did not modify the general positive effect of fertilization or positive effect of inoculation on </w:t>
      </w:r>
      <w:r w:rsidR="00C05A1D" w:rsidRPr="000E7383">
        <w:rPr>
          <w:i/>
          <w:iCs/>
          <w:color w:val="000000"/>
          <w:lang w:val="el-GR"/>
        </w:rPr>
        <w:t>ρ</w:t>
      </w:r>
      <w:r w:rsidR="00C05A1D" w:rsidRPr="000E7383">
        <w:rPr>
          <w:color w:val="000000"/>
          <w:vertAlign w:val="subscript"/>
        </w:rPr>
        <w:t>photo</w:t>
      </w:r>
      <w:r w:rsidR="00C05A1D">
        <w:rPr>
          <w:color w:val="000000"/>
        </w:rPr>
        <w:t xml:space="preserve">, although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w:t>
      </w:r>
      <w:r w:rsidR="00C05A1D">
        <w:rPr>
          <w:color w:val="000000"/>
        </w:rPr>
        <w:t>greater</w:t>
      </w:r>
      <w:r w:rsidR="00F1123A">
        <w:rPr>
          <w:color w:val="000000"/>
        </w:rPr>
        <w:t xml:space="preserve"> under elevated CO</w:t>
      </w:r>
      <w:r w:rsidR="00F1123A">
        <w:rPr>
          <w:color w:val="000000"/>
          <w:vertAlign w:val="subscript"/>
        </w:rPr>
        <w:t>2</w:t>
      </w:r>
      <w:r w:rsidR="00F1123A">
        <w:rPr>
          <w:color w:val="000000"/>
        </w:rPr>
        <w:t xml:space="preserve"> (Table 3).</w:t>
      </w:r>
    </w:p>
    <w:p w14:paraId="47135528" w14:textId="638ACF1E" w:rsidR="00475A2D" w:rsidRDefault="00F1123A" w:rsidP="00DE2B27">
      <w:pPr>
        <w:spacing w:line="36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w:t>
      </w:r>
      <w:r w:rsidR="00CD6CA5">
        <w:rPr>
          <w:color w:val="000000"/>
        </w:rPr>
        <w:t>; Fig. 3B</w:t>
      </w:r>
      <w:r>
        <w:rPr>
          <w:color w:val="000000"/>
        </w:rPr>
        <w:t>), a pattern that was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w:t>
      </w:r>
      <w:r w:rsidR="00376F21">
        <w:rPr>
          <w:color w:val="000000"/>
        </w:rPr>
        <w:t>stimulated</w:t>
      </w:r>
      <w:r>
        <w:rPr>
          <w:color w:val="000000"/>
        </w:rPr>
        <w:t xml:space="preserve">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xml:space="preserve">). </w:t>
      </w:r>
      <w:r w:rsidR="00475A2D" w:rsidRPr="000E7383">
        <w:rPr>
          <w:i/>
          <w:iCs/>
          <w:color w:val="000000"/>
          <w:lang w:val="el-GR"/>
        </w:rPr>
        <w:t>ρ</w:t>
      </w:r>
      <w:r w:rsidR="00475A2D" w:rsidRPr="000E7383">
        <w:rPr>
          <w:color w:val="000000"/>
          <w:vertAlign w:val="subscript"/>
        </w:rPr>
        <w:t>structure</w:t>
      </w:r>
      <w:r w:rsidR="00475A2D">
        <w:rPr>
          <w:color w:val="000000"/>
        </w:rPr>
        <w:t xml:space="preserve"> was </w:t>
      </w:r>
      <w:r w:rsidR="00C05A1D">
        <w:rPr>
          <w:color w:val="000000"/>
        </w:rPr>
        <w:t xml:space="preserve">also </w:t>
      </w:r>
      <w:r w:rsidR="00475A2D">
        <w:rPr>
          <w:color w:val="000000"/>
        </w:rPr>
        <w:t xml:space="preserve">generally </w:t>
      </w:r>
      <w:r w:rsidR="00376F21">
        <w:rPr>
          <w:color w:val="000000"/>
        </w:rPr>
        <w:t>greater</w:t>
      </w:r>
      <w:r w:rsidR="00475A2D">
        <w:rPr>
          <w:color w:val="000000"/>
        </w:rPr>
        <w:t xml:space="preserve"> in uninoculated pots (Table 3).</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61948DEE" w:rsidR="00571302" w:rsidRPr="00F56D6E" w:rsidRDefault="005C3139" w:rsidP="00DE2B27">
      <w:pPr>
        <w:spacing w:line="360" w:lineRule="auto"/>
      </w:pPr>
      <w:r>
        <w:rPr>
          <w:noProof/>
        </w:rPr>
        <w:drawing>
          <wp:inline distT="0" distB="0" distL="0" distR="0" wp14:anchorId="1B15CC23" wp14:editId="08FB1E41">
            <wp:extent cx="5943600" cy="19812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4432ACA5" w14:textId="0F7D7D99" w:rsidR="005D1ED2" w:rsidRPr="005B6D76" w:rsidRDefault="00571302" w:rsidP="00DE2B27">
      <w:pPr>
        <w:spacing w:line="360" w:lineRule="auto"/>
        <w:rPr>
          <w:b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B6D76">
        <w:rPr>
          <w:bCs/>
        </w:rPr>
        <w:t>.</w:t>
      </w:r>
    </w:p>
    <w:p w14:paraId="6036C421" w14:textId="4E2CF72D" w:rsidR="005D1ED2" w:rsidRDefault="005D1ED2" w:rsidP="00DE2B27">
      <w:pPr>
        <w:spacing w:line="360" w:lineRule="auto"/>
        <w:rPr>
          <w:bCs/>
          <w:i/>
          <w:iCs/>
        </w:rPr>
      </w:pPr>
      <w:r>
        <w:rPr>
          <w:bCs/>
          <w:i/>
          <w:iCs/>
        </w:rPr>
        <w:br w:type="page"/>
      </w:r>
    </w:p>
    <w:p w14:paraId="5D51E241" w14:textId="4B3A12ED" w:rsidR="00475A2D" w:rsidRPr="000E7383" w:rsidRDefault="005D1ED2" w:rsidP="00DE2B27">
      <w:pPr>
        <w:spacing w:line="36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DE2B27">
      <w:pPr>
        <w:spacing w:line="36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DE2B27">
      <w:pPr>
        <w:spacing w:line="360" w:lineRule="auto"/>
        <w:ind w:firstLine="720"/>
        <w:rPr>
          <w:color w:val="000000"/>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proofErr w:type="spellStart"/>
      <w:r w:rsidR="00C05A1D">
        <w:rPr>
          <w:bCs/>
          <w:i/>
          <w:iCs/>
        </w:rPr>
        <w:t>i</w:t>
      </w:r>
      <w:r w:rsidR="00C05A1D">
        <w:rPr>
          <w:bCs/>
        </w:rPr>
        <w:t>WUE</w:t>
      </w:r>
      <w:proofErr w:type="spellEnd"/>
      <w:r w:rsidR="00C05A1D">
        <w:rPr>
          <w:bCs/>
        </w:rPr>
        <w:t>, as there was no general effect of CO</w:t>
      </w:r>
      <w:r w:rsidR="00C05A1D">
        <w:rPr>
          <w:bCs/>
          <w:vertAlign w:val="subscript"/>
        </w:rPr>
        <w:t>2</w:t>
      </w:r>
      <w:r w:rsidR="00C05A1D">
        <w:rPr>
          <w:bCs/>
        </w:rPr>
        <w:t xml:space="preserve"> treatment or inoculation on </w:t>
      </w:r>
      <w:proofErr w:type="spellStart"/>
      <w:r w:rsidR="00C05A1D">
        <w:rPr>
          <w:bCs/>
          <w:i/>
          <w:iCs/>
        </w:rPr>
        <w:t>i</w:t>
      </w:r>
      <w:r w:rsidR="00C05A1D">
        <w:rPr>
          <w:bCs/>
        </w:rPr>
        <w:t>WUE</w:t>
      </w:r>
      <w:proofErr w:type="spellEnd"/>
      <w:r w:rsidR="00C05A1D">
        <w:rPr>
          <w:bCs/>
        </w:rPr>
        <w:t xml:space="preserve"> (Table 4).</w:t>
      </w:r>
    </w:p>
    <w:p w14:paraId="1552BC96" w14:textId="67068AB6" w:rsidR="002D30AB" w:rsidRPr="00C05A1D" w:rsidRDefault="00475A2D" w:rsidP="00DE2B27">
      <w:pPr>
        <w:spacing w:line="360" w:lineRule="auto"/>
        <w:ind w:firstLine="720"/>
        <w:rPr>
          <w:color w:val="000000"/>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on </w:t>
      </w:r>
      <w:proofErr w:type="spellStart"/>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sidRPr="002D30AB">
        <w:rPr>
          <w:bCs/>
        </w:rPr>
        <w:t>,</w:t>
      </w:r>
      <w:r w:rsidR="002D30AB">
        <w:rPr>
          <w:bCs/>
        </w:rPr>
        <w:t xml:space="preserve"> </w:t>
      </w:r>
      <w:r w:rsidR="002D30AB">
        <w:rPr>
          <w:color w:val="000000"/>
        </w:rPr>
        <w:t xml:space="preserve">although </w:t>
      </w:r>
      <w:proofErr w:type="spell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p>
    <w:p w14:paraId="5E22ACE0" w14:textId="4DAE1FBD" w:rsidR="00475A2D" w:rsidRPr="00607093" w:rsidRDefault="00475A2D" w:rsidP="00DE2B27">
      <w:pPr>
        <w:spacing w:line="36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presumably due to a lack of a general effect of CO</w:t>
      </w:r>
      <w:r w:rsidR="002D30AB">
        <w:rPr>
          <w:bCs/>
          <w:vertAlign w:val="subscript"/>
        </w:rPr>
        <w:t>2</w:t>
      </w:r>
      <w:r w:rsidR="002D30AB">
        <w:rPr>
          <w:bCs/>
        </w:rPr>
        <w:t xml:space="preserve"> concentration or inoculation on</w:t>
      </w:r>
      <w:r w:rsidR="002D30AB" w:rsidRPr="00607093">
        <w:rPr>
          <w:bCs/>
          <w:i/>
          <w:iCs/>
        </w:rPr>
        <w:t xml:space="preserve"> </w:t>
      </w:r>
      <w:proofErr w:type="spellStart"/>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Pr>
          <w:bCs/>
        </w:rPr>
        <w:t xml:space="preserve"> (Table 4).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DA258F" w:rsidRDefault="002F24E0" w:rsidP="002F24E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BB00AD" w:rsidRDefault="002F24E0" w:rsidP="002F24E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r w:rsidRPr="002F24E0">
              <w:rPr>
                <w:color w:val="000000"/>
              </w:rPr>
              <w:t>1.43E-03</w:t>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BB00AD" w:rsidRDefault="002F24E0" w:rsidP="002F24E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BB00AD" w:rsidRDefault="002F24E0" w:rsidP="002F24E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DA258F" w:rsidRDefault="002F24E0" w:rsidP="002F24E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DA258F" w:rsidRDefault="002F24E0" w:rsidP="002F24E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5023BF3B" w:rsidR="00475A2D" w:rsidRPr="00F56D6E" w:rsidRDefault="005C3139" w:rsidP="00DE2B27">
      <w:pPr>
        <w:spacing w:line="360" w:lineRule="auto"/>
        <w:rPr>
          <w:b/>
          <w:sz w:val="22"/>
          <w:szCs w:val="22"/>
        </w:rPr>
      </w:pPr>
      <w:r>
        <w:rPr>
          <w:b/>
          <w:noProof/>
          <w:sz w:val="22"/>
          <w:szCs w:val="22"/>
        </w:rPr>
        <w:drawing>
          <wp:inline distT="0" distB="0" distL="0" distR="0" wp14:anchorId="066C26EF" wp14:editId="190C539C">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10953760" w14:textId="77777777" w:rsidR="001861D2" w:rsidRDefault="00475A2D" w:rsidP="00DE2B27">
      <w:pPr>
        <w:spacing w:line="36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4AE6BAB3" w:rsidR="00475A2D" w:rsidRPr="00CD6CA5" w:rsidRDefault="00475A2D" w:rsidP="00DE2B27">
      <w:pPr>
        <w:spacing w:line="360" w:lineRule="auto"/>
        <w:rPr>
          <w:bCs/>
        </w:rPr>
      </w:pPr>
      <w:r>
        <w:rPr>
          <w:bCs/>
          <w:i/>
          <w:iCs/>
        </w:rPr>
        <w:br w:type="page"/>
      </w:r>
    </w:p>
    <w:p w14:paraId="49194D38" w14:textId="3CA32B14" w:rsidR="00664380" w:rsidRPr="000E7383" w:rsidRDefault="00664380" w:rsidP="00DE2B27">
      <w:pPr>
        <w:spacing w:line="360" w:lineRule="auto"/>
        <w:rPr>
          <w:bCs/>
          <w:i/>
          <w:iCs/>
        </w:rPr>
      </w:pPr>
      <w:r w:rsidRPr="000E7383">
        <w:rPr>
          <w:bCs/>
          <w:i/>
          <w:iCs/>
        </w:rPr>
        <w:lastRenderedPageBreak/>
        <w:t>Carbon costs to acquire nitrogen</w:t>
      </w:r>
    </w:p>
    <w:p w14:paraId="526B7FB2" w14:textId="5D5AEC67" w:rsidR="000B123A" w:rsidRPr="00D73AEB" w:rsidRDefault="00613F7E" w:rsidP="00DE2B27">
      <w:pPr>
        <w:spacing w:line="36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proofErr w:type="spellStart"/>
      <w:r w:rsidR="0067746E">
        <w:rPr>
          <w:bCs/>
          <w:i/>
          <w:iCs/>
        </w:rPr>
        <w:t>N</w:t>
      </w:r>
      <w:r w:rsidR="0067746E">
        <w:rPr>
          <w:bCs/>
          <w:vertAlign w:val="subscript"/>
        </w:rPr>
        <w:t>cost</w:t>
      </w:r>
      <w:proofErr w:type="spellEnd"/>
      <w:r w:rsidR="0067746E">
        <w:rPr>
          <w:bCs/>
        </w:rPr>
        <w:t xml:space="preserve"> that was only apparent 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DE2B27">
      <w:pPr>
        <w:spacing w:line="36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proofErr w:type="spellStart"/>
      <w:r>
        <w:rPr>
          <w:bCs/>
          <w:i/>
          <w:iCs/>
        </w:rPr>
        <w:t>C</w:t>
      </w:r>
      <w:r>
        <w:rPr>
          <w:bCs/>
          <w:vertAlign w:val="subscript"/>
        </w:rPr>
        <w:t>bg</w:t>
      </w:r>
      <w:proofErr w:type="spellEnd"/>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DE2B27">
      <w:pPr>
        <w:spacing w:line="36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proofErr w:type="spellStart"/>
      <w:r w:rsidR="0067746E">
        <w:rPr>
          <w:bCs/>
          <w:i/>
          <w:iCs/>
        </w:rPr>
        <w:t>N</w:t>
      </w:r>
      <w:r w:rsidR="0067746E">
        <w:rPr>
          <w:bCs/>
          <w:vertAlign w:val="subscript"/>
        </w:rPr>
        <w:t>wp</w:t>
      </w:r>
      <w:proofErr w:type="spellEnd"/>
      <w:r w:rsidR="0067746E">
        <w:rPr>
          <w:bCs/>
        </w:rPr>
        <w:t xml:space="preserve">, although </w:t>
      </w:r>
      <w:proofErr w:type="spellStart"/>
      <w:r w:rsidR="0067746E">
        <w:rPr>
          <w:bCs/>
          <w:i/>
          <w:iCs/>
        </w:rPr>
        <w:t>N</w:t>
      </w:r>
      <w:r w:rsidR="0067746E">
        <w:rPr>
          <w:bCs/>
          <w:vertAlign w:val="subscript"/>
        </w:rPr>
        <w:t>wp</w:t>
      </w:r>
      <w:proofErr w:type="spellEnd"/>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DE2B27">
      <w:pPr>
        <w:spacing w:line="360" w:lineRule="auto"/>
        <w:rPr>
          <w:bCs/>
        </w:rPr>
      </w:pPr>
    </w:p>
    <w:p w14:paraId="3F9E5DB3" w14:textId="41E1B004" w:rsidR="00664380" w:rsidRPr="000E7383" w:rsidRDefault="00664380" w:rsidP="00DE2B27">
      <w:pPr>
        <w:spacing w:line="36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DE2B27">
      <w:pPr>
        <w:spacing w:line="36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 xml:space="preserve">in uninoculated pots (Table 5, inoculation-by-fertilization interaction; Tukey: p&lt;0.001)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A weak marginal interaction between CO</w:t>
      </w:r>
      <w:r w:rsidR="0067746E">
        <w:rPr>
          <w:bCs/>
          <w:vertAlign w:val="subscript"/>
        </w:rPr>
        <w:t>2</w:t>
      </w:r>
      <w:r w:rsidR="0067746E">
        <w:rPr>
          <w:bCs/>
        </w:rPr>
        <w:t xml:space="preserve"> concentration and inoculation revealed that the general positive effect of inoculation on total leaf area was slightly greater under elevated CO</w:t>
      </w:r>
      <w:r w:rsidR="0067746E">
        <w:rPr>
          <w:bCs/>
          <w:vertAlign w:val="subscript"/>
        </w:rPr>
        <w:t>2</w:t>
      </w:r>
      <w:r w:rsidR="0067746E">
        <w:rPr>
          <w:bCs/>
        </w:rPr>
        <w:t xml:space="preserve"> (42% </w:t>
      </w:r>
      <w:r w:rsidR="0067746E">
        <w:rPr>
          <w:bCs/>
        </w:rPr>
        <w:lastRenderedPageBreak/>
        <w:t>increase; Tukey: p&lt;0.001) than ambient CO</w:t>
      </w:r>
      <w:r w:rsidR="0067746E">
        <w:rPr>
          <w:bCs/>
          <w:vertAlign w:val="subscript"/>
        </w:rPr>
        <w:t>2</w:t>
      </w:r>
      <w:r w:rsidR="0067746E">
        <w:rPr>
          <w:bCs/>
        </w:rPr>
        <w:t xml:space="preserve"> (37% increase; Tukey: p=0.005).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DE2B27">
      <w:pPr>
        <w:spacing w:line="36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56C18DF3" w:rsidR="00A075E5" w:rsidRPr="002F4382" w:rsidRDefault="00A075E5" w:rsidP="00CD6CA5">
            <w:pPr>
              <w:rPr>
                <w:b/>
                <w:bCs/>
                <w:color w:val="000000"/>
              </w:rPr>
            </w:pPr>
            <w:r w:rsidRPr="00A075E5">
              <w:rPr>
                <w:b/>
                <w:bCs/>
                <w:color w:val="000000"/>
              </w:rPr>
              <w:t>biomass</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2F24E0"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2F24E0" w:rsidRPr="00A075E5"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40511241" w:rsidR="002F24E0" w:rsidRPr="002F24E0" w:rsidRDefault="002F24E0" w:rsidP="002F24E0">
            <w:pPr>
              <w:spacing w:line="276" w:lineRule="auto"/>
              <w:jc w:val="right"/>
              <w:rPr>
                <w:color w:val="000000"/>
                <w:vertAlign w:val="superscript"/>
              </w:rPr>
            </w:pPr>
            <w:r w:rsidRPr="002F24E0">
              <w:rPr>
                <w:color w:val="000000"/>
              </w:rPr>
              <w:t>2.19E+00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2F24E0" w:rsidRPr="003A66AF" w:rsidRDefault="002F24E0" w:rsidP="002F24E0">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2F24E0" w:rsidRPr="003A66AF" w:rsidRDefault="002F24E0" w:rsidP="002F24E0">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D524C07" w:rsidR="002F24E0" w:rsidRPr="002F24E0" w:rsidRDefault="002F24E0" w:rsidP="002F24E0">
            <w:pPr>
              <w:spacing w:line="276" w:lineRule="auto"/>
              <w:jc w:val="right"/>
              <w:rPr>
                <w:color w:val="000000"/>
              </w:rPr>
            </w:pPr>
            <w:r w:rsidRPr="002F24E0">
              <w:rPr>
                <w:color w:val="000000"/>
              </w:rPr>
              <w:t>-1.70E+00</w:t>
            </w:r>
          </w:p>
        </w:tc>
        <w:tc>
          <w:tcPr>
            <w:tcW w:w="1163" w:type="dxa"/>
            <w:tcBorders>
              <w:top w:val="single" w:sz="4" w:space="0" w:color="auto"/>
              <w:left w:val="nil"/>
              <w:bottom w:val="nil"/>
              <w:right w:val="nil"/>
            </w:tcBorders>
            <w:shd w:val="clear" w:color="auto" w:fill="auto"/>
            <w:noWrap/>
            <w:vAlign w:val="bottom"/>
            <w:hideMark/>
          </w:tcPr>
          <w:p w14:paraId="6BA35B55" w14:textId="37A4D511"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2F24E0" w:rsidRPr="0032204D" w:rsidRDefault="002F24E0" w:rsidP="002F24E0">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804AB90" w:rsidR="002F24E0" w:rsidRPr="002F24E0" w:rsidRDefault="002F24E0" w:rsidP="002F24E0">
            <w:pPr>
              <w:spacing w:line="276" w:lineRule="auto"/>
              <w:jc w:val="right"/>
              <w:rPr>
                <w:color w:val="000000"/>
              </w:rPr>
            </w:pPr>
            <w:r w:rsidRPr="002F24E0">
              <w:rPr>
                <w:color w:val="000000"/>
              </w:rPr>
              <w:t>4.03E-03</w:t>
            </w:r>
          </w:p>
        </w:tc>
        <w:tc>
          <w:tcPr>
            <w:tcW w:w="1112" w:type="dxa"/>
            <w:tcBorders>
              <w:top w:val="single" w:sz="4" w:space="0" w:color="auto"/>
              <w:left w:val="nil"/>
              <w:bottom w:val="nil"/>
              <w:right w:val="nil"/>
            </w:tcBorders>
            <w:shd w:val="clear" w:color="auto" w:fill="auto"/>
            <w:noWrap/>
            <w:vAlign w:val="bottom"/>
            <w:hideMark/>
          </w:tcPr>
          <w:p w14:paraId="170C3212" w14:textId="20C35E3A" w:rsidR="002F24E0" w:rsidRPr="00971319" w:rsidRDefault="002F24E0" w:rsidP="002F24E0">
            <w:pPr>
              <w:spacing w:line="276" w:lineRule="auto"/>
              <w:jc w:val="right"/>
              <w:rPr>
                <w:color w:val="000000"/>
              </w:rPr>
            </w:pPr>
            <w:r w:rsidRPr="00971319">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BA5D3B0" w:rsidR="002F24E0" w:rsidRPr="00971319" w:rsidRDefault="002F24E0" w:rsidP="002F24E0">
            <w:pPr>
              <w:spacing w:line="276" w:lineRule="auto"/>
              <w:jc w:val="right"/>
              <w:rPr>
                <w:color w:val="000000"/>
              </w:rPr>
            </w:pPr>
            <w:r w:rsidRPr="00971319">
              <w:rPr>
                <w:color w:val="000000"/>
              </w:rPr>
              <w:t>-</w:t>
            </w:r>
          </w:p>
        </w:tc>
      </w:tr>
      <w:tr w:rsidR="002F24E0"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2F24E0" w:rsidRPr="00A075E5"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11FF2FB9" w:rsidR="002F24E0" w:rsidRPr="002F24E0" w:rsidRDefault="002F24E0" w:rsidP="002F24E0">
            <w:pPr>
              <w:spacing w:line="276" w:lineRule="auto"/>
              <w:jc w:val="right"/>
              <w:rPr>
                <w:color w:val="000000"/>
              </w:rPr>
            </w:pPr>
            <w:r w:rsidRPr="002F24E0">
              <w:rPr>
                <w:color w:val="000000"/>
              </w:rPr>
              <w:t>7.07E-01</w:t>
            </w:r>
          </w:p>
        </w:tc>
        <w:tc>
          <w:tcPr>
            <w:tcW w:w="1026" w:type="dxa"/>
            <w:tcBorders>
              <w:top w:val="nil"/>
              <w:left w:val="nil"/>
              <w:bottom w:val="nil"/>
              <w:right w:val="nil"/>
            </w:tcBorders>
            <w:shd w:val="clear" w:color="auto" w:fill="auto"/>
            <w:noWrap/>
            <w:vAlign w:val="bottom"/>
            <w:hideMark/>
          </w:tcPr>
          <w:p w14:paraId="5E9A5293" w14:textId="48615F3B" w:rsidR="002F24E0" w:rsidRPr="003A66AF" w:rsidRDefault="002F24E0" w:rsidP="002F24E0">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3FE6B9" w:rsidR="002F24E0" w:rsidRPr="002F24E0" w:rsidRDefault="002F24E0" w:rsidP="002F24E0">
            <w:pPr>
              <w:spacing w:line="276" w:lineRule="auto"/>
              <w:jc w:val="right"/>
              <w:rPr>
                <w:color w:val="000000"/>
              </w:rPr>
            </w:pPr>
            <w:r w:rsidRPr="002F24E0">
              <w:rPr>
                <w:color w:val="000000"/>
              </w:rPr>
              <w:t>6.76E-01</w:t>
            </w:r>
          </w:p>
        </w:tc>
        <w:tc>
          <w:tcPr>
            <w:tcW w:w="1163" w:type="dxa"/>
            <w:tcBorders>
              <w:top w:val="nil"/>
              <w:left w:val="nil"/>
              <w:bottom w:val="nil"/>
              <w:right w:val="nil"/>
            </w:tcBorders>
            <w:shd w:val="clear" w:color="auto" w:fill="auto"/>
            <w:noWrap/>
            <w:vAlign w:val="bottom"/>
            <w:hideMark/>
          </w:tcPr>
          <w:p w14:paraId="5C0488E1" w14:textId="2C51B970" w:rsidR="002F24E0" w:rsidRPr="0032204D" w:rsidRDefault="002F24E0" w:rsidP="002F24E0">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DB0C078" w:rsidR="002F24E0" w:rsidRPr="002F24E0" w:rsidRDefault="002F24E0" w:rsidP="002F24E0">
            <w:pPr>
              <w:spacing w:line="276" w:lineRule="auto"/>
              <w:jc w:val="right"/>
              <w:rPr>
                <w:color w:val="000000"/>
              </w:rPr>
            </w:pPr>
            <w:r w:rsidRPr="002F24E0">
              <w:rPr>
                <w:color w:val="000000"/>
              </w:rPr>
              <w:t>-1.71E-02</w:t>
            </w:r>
          </w:p>
        </w:tc>
        <w:tc>
          <w:tcPr>
            <w:tcW w:w="1112" w:type="dxa"/>
            <w:tcBorders>
              <w:top w:val="nil"/>
              <w:left w:val="nil"/>
              <w:bottom w:val="nil"/>
              <w:right w:val="nil"/>
            </w:tcBorders>
            <w:shd w:val="clear" w:color="auto" w:fill="auto"/>
            <w:noWrap/>
            <w:vAlign w:val="bottom"/>
            <w:hideMark/>
          </w:tcPr>
          <w:p w14:paraId="50B33CAF" w14:textId="3ACEEF8E" w:rsidR="002F24E0" w:rsidRPr="00971319" w:rsidRDefault="002F24E0" w:rsidP="002F24E0">
            <w:pPr>
              <w:spacing w:line="276" w:lineRule="auto"/>
              <w:jc w:val="right"/>
              <w:rPr>
                <w:color w:val="000000"/>
              </w:rPr>
            </w:pPr>
            <w:r w:rsidRPr="00971319">
              <w:rPr>
                <w:color w:val="000000"/>
              </w:rPr>
              <w:t>31.317</w:t>
            </w:r>
          </w:p>
        </w:tc>
        <w:tc>
          <w:tcPr>
            <w:tcW w:w="1052" w:type="dxa"/>
            <w:tcBorders>
              <w:top w:val="nil"/>
              <w:left w:val="nil"/>
              <w:bottom w:val="nil"/>
              <w:right w:val="nil"/>
            </w:tcBorders>
            <w:shd w:val="clear" w:color="auto" w:fill="auto"/>
            <w:noWrap/>
            <w:vAlign w:val="bottom"/>
            <w:hideMark/>
          </w:tcPr>
          <w:p w14:paraId="072BE0EA" w14:textId="48EBC71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2F24E0" w:rsidRPr="00A075E5"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14BBADE9" w:rsidR="002F24E0" w:rsidRPr="002F24E0" w:rsidRDefault="002F24E0" w:rsidP="002F24E0">
            <w:pPr>
              <w:spacing w:line="276" w:lineRule="auto"/>
              <w:jc w:val="right"/>
              <w:rPr>
                <w:color w:val="000000"/>
              </w:rPr>
            </w:pPr>
            <w:r w:rsidRPr="002F24E0">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2F24E0" w:rsidRPr="003A66AF" w:rsidRDefault="002F24E0" w:rsidP="002F24E0">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6CD5D333" w:rsidR="002F24E0" w:rsidRPr="002F24E0" w:rsidRDefault="002F24E0" w:rsidP="002F24E0">
            <w:pPr>
              <w:spacing w:line="276" w:lineRule="auto"/>
              <w:jc w:val="right"/>
              <w:rPr>
                <w:color w:val="000000"/>
              </w:rPr>
            </w:pPr>
            <w:r w:rsidRPr="002F24E0">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2F24E0" w:rsidRPr="0032204D" w:rsidRDefault="002F24E0" w:rsidP="002F24E0">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AD6A28F" w:rsidR="002F24E0" w:rsidRPr="002F24E0" w:rsidRDefault="002F24E0" w:rsidP="002F24E0">
            <w:pPr>
              <w:spacing w:line="276" w:lineRule="auto"/>
              <w:jc w:val="right"/>
              <w:rPr>
                <w:color w:val="000000"/>
              </w:rPr>
            </w:pPr>
            <w:r w:rsidRPr="002F24E0">
              <w:rPr>
                <w:color w:val="000000"/>
              </w:rPr>
              <w:t>8.12E-02</w:t>
            </w:r>
          </w:p>
        </w:tc>
        <w:tc>
          <w:tcPr>
            <w:tcW w:w="1112" w:type="dxa"/>
            <w:tcBorders>
              <w:top w:val="nil"/>
              <w:left w:val="nil"/>
              <w:bottom w:val="nil"/>
              <w:right w:val="nil"/>
            </w:tcBorders>
            <w:shd w:val="clear" w:color="auto" w:fill="auto"/>
            <w:noWrap/>
            <w:vAlign w:val="bottom"/>
            <w:hideMark/>
          </w:tcPr>
          <w:p w14:paraId="6173B604" w14:textId="2F1A1908" w:rsidR="002F24E0" w:rsidRPr="00971319" w:rsidRDefault="002F24E0" w:rsidP="002F24E0">
            <w:pPr>
              <w:spacing w:line="276" w:lineRule="auto"/>
              <w:jc w:val="right"/>
              <w:rPr>
                <w:color w:val="000000"/>
              </w:rPr>
            </w:pPr>
            <w:r w:rsidRPr="00971319">
              <w:rPr>
                <w:color w:val="000000"/>
              </w:rPr>
              <w:t>86.333</w:t>
            </w:r>
          </w:p>
        </w:tc>
        <w:tc>
          <w:tcPr>
            <w:tcW w:w="1052" w:type="dxa"/>
            <w:tcBorders>
              <w:top w:val="nil"/>
              <w:left w:val="nil"/>
              <w:bottom w:val="nil"/>
              <w:right w:val="nil"/>
            </w:tcBorders>
            <w:shd w:val="clear" w:color="auto" w:fill="auto"/>
            <w:noWrap/>
            <w:vAlign w:val="bottom"/>
            <w:hideMark/>
          </w:tcPr>
          <w:p w14:paraId="2F1A987D" w14:textId="6A2FA2E1"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2F24E0" w:rsidRPr="00A075E5"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5A224F8" w:rsidR="002F24E0" w:rsidRPr="002F24E0" w:rsidRDefault="002F24E0" w:rsidP="002F24E0">
            <w:pPr>
              <w:spacing w:line="276" w:lineRule="auto"/>
              <w:jc w:val="right"/>
              <w:rPr>
                <w:color w:val="000000"/>
              </w:rPr>
            </w:pPr>
            <w:r w:rsidRPr="002F24E0">
              <w:rPr>
                <w:color w:val="000000"/>
              </w:rPr>
              <w:t>-1.42E-03</w:t>
            </w:r>
          </w:p>
        </w:tc>
        <w:tc>
          <w:tcPr>
            <w:tcW w:w="1026" w:type="dxa"/>
            <w:tcBorders>
              <w:top w:val="nil"/>
              <w:left w:val="nil"/>
              <w:bottom w:val="nil"/>
              <w:right w:val="nil"/>
            </w:tcBorders>
            <w:shd w:val="clear" w:color="auto" w:fill="auto"/>
            <w:noWrap/>
            <w:vAlign w:val="bottom"/>
            <w:hideMark/>
          </w:tcPr>
          <w:p w14:paraId="6DFAA274" w14:textId="44404F53" w:rsidR="002F24E0" w:rsidRPr="003A66AF" w:rsidRDefault="002F24E0" w:rsidP="002F24E0">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3C76DB9D" w:rsidR="002F24E0" w:rsidRPr="002F24E0" w:rsidRDefault="002F24E0" w:rsidP="002F24E0">
            <w:pPr>
              <w:spacing w:line="276" w:lineRule="auto"/>
              <w:jc w:val="right"/>
              <w:rPr>
                <w:color w:val="000000"/>
              </w:rPr>
            </w:pPr>
            <w:r w:rsidRPr="002F24E0">
              <w:rPr>
                <w:color w:val="000000"/>
              </w:rPr>
              <w:t>3.38E-03</w:t>
            </w:r>
          </w:p>
        </w:tc>
        <w:tc>
          <w:tcPr>
            <w:tcW w:w="1163" w:type="dxa"/>
            <w:tcBorders>
              <w:top w:val="nil"/>
              <w:left w:val="nil"/>
              <w:bottom w:val="nil"/>
              <w:right w:val="nil"/>
            </w:tcBorders>
            <w:shd w:val="clear" w:color="auto" w:fill="auto"/>
            <w:noWrap/>
            <w:vAlign w:val="bottom"/>
            <w:hideMark/>
          </w:tcPr>
          <w:p w14:paraId="3343790E" w14:textId="600925DC" w:rsidR="002F24E0" w:rsidRPr="0032204D" w:rsidRDefault="002F24E0" w:rsidP="002F24E0">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3D20DD9" w:rsidR="002F24E0" w:rsidRPr="002F24E0" w:rsidRDefault="002F24E0" w:rsidP="002F24E0">
            <w:pPr>
              <w:spacing w:line="276" w:lineRule="auto"/>
              <w:jc w:val="right"/>
              <w:rPr>
                <w:color w:val="000000"/>
              </w:rPr>
            </w:pPr>
            <w:r w:rsidRPr="002F24E0">
              <w:rPr>
                <w:color w:val="000000"/>
              </w:rPr>
              <w:t>4.03E-04</w:t>
            </w:r>
          </w:p>
        </w:tc>
        <w:tc>
          <w:tcPr>
            <w:tcW w:w="1112" w:type="dxa"/>
            <w:tcBorders>
              <w:top w:val="nil"/>
              <w:left w:val="nil"/>
              <w:bottom w:val="nil"/>
              <w:right w:val="nil"/>
            </w:tcBorders>
            <w:shd w:val="clear" w:color="auto" w:fill="auto"/>
            <w:noWrap/>
            <w:vAlign w:val="bottom"/>
            <w:hideMark/>
          </w:tcPr>
          <w:p w14:paraId="5FE30A04" w14:textId="261862E5" w:rsidR="002F24E0" w:rsidRPr="00971319" w:rsidRDefault="002F24E0" w:rsidP="002F24E0">
            <w:pPr>
              <w:spacing w:line="276" w:lineRule="auto"/>
              <w:jc w:val="right"/>
              <w:rPr>
                <w:color w:val="000000"/>
              </w:rPr>
            </w:pPr>
            <w:r w:rsidRPr="00971319">
              <w:rPr>
                <w:color w:val="000000"/>
              </w:rPr>
              <w:t>636.459</w:t>
            </w:r>
          </w:p>
        </w:tc>
        <w:tc>
          <w:tcPr>
            <w:tcW w:w="1052" w:type="dxa"/>
            <w:tcBorders>
              <w:top w:val="nil"/>
              <w:left w:val="nil"/>
              <w:bottom w:val="nil"/>
              <w:right w:val="nil"/>
            </w:tcBorders>
            <w:shd w:val="clear" w:color="auto" w:fill="auto"/>
            <w:noWrap/>
            <w:vAlign w:val="bottom"/>
            <w:hideMark/>
          </w:tcPr>
          <w:p w14:paraId="240425A1" w14:textId="7F2C227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B86BA52" w:rsidR="002F24E0" w:rsidRPr="002F24E0" w:rsidRDefault="002F24E0" w:rsidP="002F24E0">
            <w:pPr>
              <w:spacing w:line="276" w:lineRule="auto"/>
              <w:jc w:val="right"/>
              <w:rPr>
                <w:color w:val="000000"/>
              </w:rPr>
            </w:pPr>
            <w:r w:rsidRPr="002F24E0">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2F24E0" w:rsidRPr="003A66AF" w:rsidRDefault="002F24E0" w:rsidP="002F24E0">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7B75583E" w:rsidR="002F24E0" w:rsidRPr="002F24E0" w:rsidRDefault="002F24E0" w:rsidP="002F24E0">
            <w:pPr>
              <w:spacing w:line="276" w:lineRule="auto"/>
              <w:jc w:val="right"/>
              <w:rPr>
                <w:color w:val="000000"/>
              </w:rPr>
            </w:pPr>
            <w:r w:rsidRPr="002F24E0">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2F24E0" w:rsidRPr="0032204D" w:rsidRDefault="002F24E0" w:rsidP="002F24E0">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2F24E0" w:rsidRPr="0032204D" w:rsidRDefault="002F24E0" w:rsidP="002F24E0">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2C297E05" w:rsidR="002F24E0" w:rsidRPr="002F24E0" w:rsidRDefault="002F24E0" w:rsidP="002F24E0">
            <w:pPr>
              <w:spacing w:line="276" w:lineRule="auto"/>
              <w:jc w:val="right"/>
              <w:rPr>
                <w:color w:val="000000"/>
              </w:rPr>
            </w:pPr>
            <w:r w:rsidRPr="002F24E0">
              <w:rPr>
                <w:color w:val="000000"/>
              </w:rPr>
              <w:t>3.12E-02</w:t>
            </w:r>
          </w:p>
        </w:tc>
        <w:tc>
          <w:tcPr>
            <w:tcW w:w="1112" w:type="dxa"/>
            <w:tcBorders>
              <w:top w:val="nil"/>
              <w:left w:val="nil"/>
              <w:bottom w:val="nil"/>
              <w:right w:val="nil"/>
            </w:tcBorders>
            <w:shd w:val="clear" w:color="auto" w:fill="auto"/>
            <w:noWrap/>
            <w:vAlign w:val="bottom"/>
            <w:hideMark/>
          </w:tcPr>
          <w:p w14:paraId="0525875C" w14:textId="23EA178A" w:rsidR="002F24E0" w:rsidRPr="00971319" w:rsidRDefault="002F24E0" w:rsidP="002F24E0">
            <w:pPr>
              <w:spacing w:line="276" w:lineRule="auto"/>
              <w:jc w:val="right"/>
              <w:rPr>
                <w:color w:val="000000"/>
              </w:rPr>
            </w:pPr>
            <w:r w:rsidRPr="00971319">
              <w:rPr>
                <w:color w:val="000000"/>
              </w:rPr>
              <w:t>1.26</w:t>
            </w:r>
            <w:r>
              <w:rPr>
                <w:color w:val="000000"/>
              </w:rPr>
              <w:t>0</w:t>
            </w:r>
          </w:p>
        </w:tc>
        <w:tc>
          <w:tcPr>
            <w:tcW w:w="1052" w:type="dxa"/>
            <w:tcBorders>
              <w:top w:val="nil"/>
              <w:left w:val="nil"/>
              <w:bottom w:val="nil"/>
              <w:right w:val="nil"/>
            </w:tcBorders>
            <w:shd w:val="clear" w:color="auto" w:fill="auto"/>
            <w:noWrap/>
            <w:vAlign w:val="bottom"/>
            <w:hideMark/>
          </w:tcPr>
          <w:p w14:paraId="0BC6838E" w14:textId="581E197B" w:rsidR="002F24E0" w:rsidRPr="00971319" w:rsidRDefault="002F24E0" w:rsidP="002F24E0">
            <w:pPr>
              <w:spacing w:line="276" w:lineRule="auto"/>
              <w:jc w:val="right"/>
              <w:rPr>
                <w:color w:val="000000"/>
              </w:rPr>
            </w:pPr>
            <w:r w:rsidRPr="00971319">
              <w:rPr>
                <w:color w:val="000000"/>
              </w:rPr>
              <w:t>0.262</w:t>
            </w:r>
          </w:p>
        </w:tc>
      </w:tr>
      <w:tr w:rsidR="002F24E0"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A5BBE99" w:rsidR="002F24E0" w:rsidRPr="002F24E0" w:rsidRDefault="002F24E0" w:rsidP="002F24E0">
            <w:pPr>
              <w:spacing w:line="276" w:lineRule="auto"/>
              <w:jc w:val="right"/>
              <w:rPr>
                <w:color w:val="000000"/>
              </w:rPr>
            </w:pPr>
            <w:r w:rsidRPr="002F24E0">
              <w:rPr>
                <w:color w:val="000000"/>
              </w:rPr>
              <w:t>-1.45E-04</w:t>
            </w:r>
          </w:p>
        </w:tc>
        <w:tc>
          <w:tcPr>
            <w:tcW w:w="1026" w:type="dxa"/>
            <w:tcBorders>
              <w:top w:val="nil"/>
              <w:left w:val="nil"/>
              <w:bottom w:val="nil"/>
              <w:right w:val="nil"/>
            </w:tcBorders>
            <w:shd w:val="clear" w:color="auto" w:fill="auto"/>
            <w:noWrap/>
            <w:vAlign w:val="bottom"/>
            <w:hideMark/>
          </w:tcPr>
          <w:p w14:paraId="6D1D845C" w14:textId="159203AB" w:rsidR="002F24E0" w:rsidRPr="003A66AF" w:rsidRDefault="002F24E0" w:rsidP="002F24E0">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2F24E0" w:rsidRPr="003A66AF" w:rsidRDefault="002F24E0" w:rsidP="002F24E0">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79469786" w:rsidR="002F24E0" w:rsidRPr="002F24E0" w:rsidRDefault="002F24E0" w:rsidP="002F24E0">
            <w:pPr>
              <w:spacing w:line="276" w:lineRule="auto"/>
              <w:jc w:val="right"/>
              <w:rPr>
                <w:color w:val="000000"/>
              </w:rPr>
            </w:pPr>
            <w:r w:rsidRPr="002F24E0">
              <w:rPr>
                <w:color w:val="000000"/>
              </w:rPr>
              <w:t>5.44E-04</w:t>
            </w:r>
          </w:p>
        </w:tc>
        <w:tc>
          <w:tcPr>
            <w:tcW w:w="1163" w:type="dxa"/>
            <w:tcBorders>
              <w:top w:val="nil"/>
              <w:left w:val="nil"/>
              <w:bottom w:val="nil"/>
              <w:right w:val="nil"/>
            </w:tcBorders>
            <w:shd w:val="clear" w:color="auto" w:fill="auto"/>
            <w:noWrap/>
            <w:vAlign w:val="bottom"/>
            <w:hideMark/>
          </w:tcPr>
          <w:p w14:paraId="6C7D1BAB" w14:textId="10E1782D" w:rsidR="002F24E0" w:rsidRPr="0032204D" w:rsidRDefault="002F24E0" w:rsidP="002F24E0">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2F24E0" w:rsidRPr="0032204D" w:rsidRDefault="002F24E0" w:rsidP="002F24E0">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477C0ED" w:rsidR="002F24E0" w:rsidRPr="002F24E0" w:rsidRDefault="002F24E0" w:rsidP="002F24E0">
            <w:pPr>
              <w:spacing w:line="276" w:lineRule="auto"/>
              <w:jc w:val="right"/>
              <w:rPr>
                <w:color w:val="000000"/>
              </w:rPr>
            </w:pPr>
            <w:r w:rsidRPr="002F24E0">
              <w:rPr>
                <w:color w:val="000000"/>
              </w:rPr>
              <w:t>2.04E-04</w:t>
            </w:r>
          </w:p>
        </w:tc>
        <w:tc>
          <w:tcPr>
            <w:tcW w:w="1112" w:type="dxa"/>
            <w:tcBorders>
              <w:top w:val="nil"/>
              <w:left w:val="nil"/>
              <w:bottom w:val="nil"/>
              <w:right w:val="nil"/>
            </w:tcBorders>
            <w:shd w:val="clear" w:color="auto" w:fill="auto"/>
            <w:noWrap/>
            <w:vAlign w:val="bottom"/>
            <w:hideMark/>
          </w:tcPr>
          <w:p w14:paraId="2520F46F" w14:textId="298A3803" w:rsidR="002F24E0" w:rsidRPr="00971319" w:rsidRDefault="002F24E0" w:rsidP="002F24E0">
            <w:pPr>
              <w:spacing w:line="276" w:lineRule="auto"/>
              <w:jc w:val="right"/>
              <w:rPr>
                <w:color w:val="000000"/>
              </w:rPr>
            </w:pPr>
            <w:r w:rsidRPr="00971319">
              <w:rPr>
                <w:color w:val="000000"/>
              </w:rPr>
              <w:t>24.525</w:t>
            </w:r>
          </w:p>
        </w:tc>
        <w:tc>
          <w:tcPr>
            <w:tcW w:w="1052" w:type="dxa"/>
            <w:tcBorders>
              <w:top w:val="nil"/>
              <w:left w:val="nil"/>
              <w:bottom w:val="nil"/>
              <w:right w:val="nil"/>
            </w:tcBorders>
            <w:shd w:val="clear" w:color="auto" w:fill="auto"/>
            <w:noWrap/>
            <w:vAlign w:val="bottom"/>
            <w:hideMark/>
          </w:tcPr>
          <w:p w14:paraId="7C4E0662" w14:textId="5753A557"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2F24E0" w:rsidRPr="00A075E5"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256D5FFD" w:rsidR="002F24E0" w:rsidRPr="002F24E0" w:rsidRDefault="002F24E0" w:rsidP="002F24E0">
            <w:pPr>
              <w:spacing w:line="276" w:lineRule="auto"/>
              <w:jc w:val="right"/>
              <w:rPr>
                <w:color w:val="000000"/>
              </w:rPr>
            </w:pPr>
            <w:r w:rsidRPr="002F24E0">
              <w:rPr>
                <w:color w:val="000000"/>
              </w:rPr>
              <w:t>5.76E-04</w:t>
            </w:r>
          </w:p>
        </w:tc>
        <w:tc>
          <w:tcPr>
            <w:tcW w:w="1026" w:type="dxa"/>
            <w:tcBorders>
              <w:top w:val="nil"/>
              <w:left w:val="nil"/>
              <w:right w:val="nil"/>
            </w:tcBorders>
            <w:shd w:val="clear" w:color="auto" w:fill="auto"/>
            <w:noWrap/>
            <w:vAlign w:val="bottom"/>
            <w:hideMark/>
          </w:tcPr>
          <w:p w14:paraId="15094C7B" w14:textId="3EF92C8A" w:rsidR="002F24E0" w:rsidRPr="003A66AF" w:rsidRDefault="002F24E0" w:rsidP="002F24E0">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5F2F161E" w:rsidR="002F24E0" w:rsidRPr="002F24E0" w:rsidRDefault="002F24E0" w:rsidP="002F24E0">
            <w:pPr>
              <w:spacing w:line="276" w:lineRule="auto"/>
              <w:jc w:val="right"/>
              <w:rPr>
                <w:color w:val="000000"/>
              </w:rPr>
            </w:pPr>
            <w:r w:rsidRPr="002F24E0">
              <w:rPr>
                <w:color w:val="000000"/>
              </w:rPr>
              <w:t>-2.22E-03</w:t>
            </w:r>
          </w:p>
        </w:tc>
        <w:tc>
          <w:tcPr>
            <w:tcW w:w="1163" w:type="dxa"/>
            <w:tcBorders>
              <w:top w:val="nil"/>
              <w:left w:val="nil"/>
              <w:right w:val="nil"/>
            </w:tcBorders>
            <w:shd w:val="clear" w:color="auto" w:fill="auto"/>
            <w:noWrap/>
            <w:vAlign w:val="bottom"/>
            <w:hideMark/>
          </w:tcPr>
          <w:p w14:paraId="043F24B3" w14:textId="52A8C0E2" w:rsidR="002F24E0" w:rsidRPr="0032204D" w:rsidRDefault="002F24E0" w:rsidP="002F24E0">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16503B1A" w:rsidR="002F24E0" w:rsidRPr="002F24E0" w:rsidRDefault="002F24E0" w:rsidP="002F24E0">
            <w:pPr>
              <w:spacing w:line="276" w:lineRule="auto"/>
              <w:jc w:val="right"/>
              <w:rPr>
                <w:color w:val="000000"/>
              </w:rPr>
            </w:pPr>
            <w:r w:rsidRPr="002F24E0">
              <w:rPr>
                <w:color w:val="000000"/>
              </w:rPr>
              <w:t>-1.39E-04</w:t>
            </w:r>
          </w:p>
        </w:tc>
        <w:tc>
          <w:tcPr>
            <w:tcW w:w="1112" w:type="dxa"/>
            <w:tcBorders>
              <w:top w:val="nil"/>
              <w:left w:val="nil"/>
              <w:right w:val="nil"/>
            </w:tcBorders>
            <w:shd w:val="clear" w:color="auto" w:fill="auto"/>
            <w:noWrap/>
            <w:vAlign w:val="bottom"/>
            <w:hideMark/>
          </w:tcPr>
          <w:p w14:paraId="78564B3A" w14:textId="776B90AE" w:rsidR="002F24E0" w:rsidRPr="00971319" w:rsidRDefault="002F24E0" w:rsidP="002F24E0">
            <w:pPr>
              <w:spacing w:line="276" w:lineRule="auto"/>
              <w:jc w:val="right"/>
              <w:rPr>
                <w:color w:val="000000"/>
              </w:rPr>
            </w:pPr>
            <w:r w:rsidRPr="00971319">
              <w:rPr>
                <w:color w:val="000000"/>
              </w:rPr>
              <w:t>30.013</w:t>
            </w:r>
          </w:p>
        </w:tc>
        <w:tc>
          <w:tcPr>
            <w:tcW w:w="1052" w:type="dxa"/>
            <w:tcBorders>
              <w:top w:val="nil"/>
              <w:left w:val="nil"/>
              <w:right w:val="nil"/>
            </w:tcBorders>
            <w:shd w:val="clear" w:color="auto" w:fill="auto"/>
            <w:noWrap/>
            <w:vAlign w:val="bottom"/>
            <w:hideMark/>
          </w:tcPr>
          <w:p w14:paraId="2190FA51" w14:textId="62E75F9D"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0305E52F" w:rsidR="002F24E0" w:rsidRPr="002F24E0" w:rsidRDefault="002F24E0" w:rsidP="002F24E0">
            <w:pPr>
              <w:spacing w:line="276" w:lineRule="auto"/>
              <w:jc w:val="right"/>
              <w:rPr>
                <w:color w:val="000000"/>
              </w:rPr>
            </w:pPr>
            <w:r w:rsidRPr="002F24E0">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2F24E0" w:rsidRPr="003A66AF" w:rsidRDefault="002F24E0" w:rsidP="002F24E0">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2F24E0" w:rsidRPr="003A66AF" w:rsidRDefault="002F24E0" w:rsidP="002F24E0">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0DB52DE" w:rsidR="002F24E0" w:rsidRPr="002F24E0" w:rsidRDefault="002F24E0" w:rsidP="002F24E0">
            <w:pPr>
              <w:spacing w:line="276" w:lineRule="auto"/>
              <w:jc w:val="right"/>
              <w:rPr>
                <w:color w:val="000000"/>
              </w:rPr>
            </w:pPr>
            <w:r w:rsidRPr="002F24E0">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2F24E0" w:rsidRPr="0032204D" w:rsidRDefault="002F24E0" w:rsidP="002F24E0">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2F24E0" w:rsidRPr="0032204D" w:rsidRDefault="002F24E0" w:rsidP="002F24E0">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2CCD74FA" w:rsidR="002F24E0" w:rsidRPr="002F24E0" w:rsidRDefault="002F24E0" w:rsidP="002F24E0">
            <w:pPr>
              <w:spacing w:line="276" w:lineRule="auto"/>
              <w:jc w:val="right"/>
              <w:rPr>
                <w:color w:val="000000"/>
              </w:rPr>
            </w:pPr>
            <w:r w:rsidRPr="002F24E0">
              <w:rPr>
                <w:color w:val="000000"/>
              </w:rPr>
              <w:t>-7.92E-05</w:t>
            </w:r>
          </w:p>
        </w:tc>
        <w:tc>
          <w:tcPr>
            <w:tcW w:w="1112" w:type="dxa"/>
            <w:tcBorders>
              <w:top w:val="nil"/>
              <w:left w:val="nil"/>
              <w:bottom w:val="nil"/>
              <w:right w:val="nil"/>
            </w:tcBorders>
            <w:shd w:val="clear" w:color="auto" w:fill="auto"/>
            <w:noWrap/>
            <w:vAlign w:val="bottom"/>
            <w:hideMark/>
          </w:tcPr>
          <w:p w14:paraId="20A49CC6" w14:textId="2B38834A" w:rsidR="002F24E0" w:rsidRPr="00971319" w:rsidRDefault="002F24E0" w:rsidP="002F24E0">
            <w:pPr>
              <w:spacing w:line="276" w:lineRule="auto"/>
              <w:jc w:val="right"/>
              <w:rPr>
                <w:color w:val="000000"/>
              </w:rPr>
            </w:pPr>
            <w:r w:rsidRPr="00971319">
              <w:rPr>
                <w:color w:val="000000"/>
              </w:rPr>
              <w:t>1.464</w:t>
            </w:r>
          </w:p>
        </w:tc>
        <w:tc>
          <w:tcPr>
            <w:tcW w:w="1052" w:type="dxa"/>
            <w:tcBorders>
              <w:top w:val="nil"/>
              <w:left w:val="nil"/>
              <w:bottom w:val="nil"/>
              <w:right w:val="nil"/>
            </w:tcBorders>
            <w:shd w:val="clear" w:color="auto" w:fill="auto"/>
            <w:noWrap/>
            <w:vAlign w:val="bottom"/>
            <w:hideMark/>
          </w:tcPr>
          <w:p w14:paraId="661F0915" w14:textId="6545D93D" w:rsidR="002F24E0" w:rsidRPr="00971319" w:rsidRDefault="002F24E0" w:rsidP="002F24E0">
            <w:pPr>
              <w:spacing w:line="276" w:lineRule="auto"/>
              <w:jc w:val="right"/>
              <w:rPr>
                <w:color w:val="000000"/>
              </w:rPr>
            </w:pPr>
            <w:r w:rsidRPr="00971319">
              <w:rPr>
                <w:color w:val="000000"/>
              </w:rPr>
              <w:t>0.226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2F24E0"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2F24E0"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303B3FFE" w:rsidR="002F24E0" w:rsidRPr="002F24E0" w:rsidRDefault="002F24E0" w:rsidP="002F24E0">
            <w:pPr>
              <w:spacing w:line="276" w:lineRule="auto"/>
              <w:jc w:val="right"/>
              <w:rPr>
                <w:color w:val="000000"/>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tcPr>
          <w:p w14:paraId="79F5B528" w14:textId="6F728045" w:rsidR="002F24E0" w:rsidRPr="0032204D" w:rsidRDefault="002F24E0" w:rsidP="002F24E0">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2F24E0" w:rsidRPr="0032204D" w:rsidRDefault="002F24E0" w:rsidP="002F24E0">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DF08832" w:rsidR="002F24E0" w:rsidRPr="002F24E0" w:rsidRDefault="002F24E0" w:rsidP="002F24E0">
            <w:pPr>
              <w:spacing w:line="276" w:lineRule="auto"/>
              <w:jc w:val="right"/>
              <w:rPr>
                <w:color w:val="000000"/>
              </w:rPr>
            </w:pPr>
            <w:r w:rsidRPr="002F24E0">
              <w:rPr>
                <w:color w:val="000000"/>
              </w:rPr>
              <w:t>2.33E-02</w:t>
            </w:r>
          </w:p>
        </w:tc>
        <w:tc>
          <w:tcPr>
            <w:tcW w:w="1163" w:type="dxa"/>
            <w:tcBorders>
              <w:top w:val="single" w:sz="4" w:space="0" w:color="auto"/>
              <w:left w:val="nil"/>
              <w:bottom w:val="nil"/>
              <w:right w:val="nil"/>
            </w:tcBorders>
            <w:shd w:val="clear" w:color="auto" w:fill="auto"/>
            <w:noWrap/>
            <w:vAlign w:val="bottom"/>
          </w:tcPr>
          <w:p w14:paraId="100714E1" w14:textId="6671B1E3"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2F24E0" w:rsidRPr="0032204D" w:rsidRDefault="002F24E0" w:rsidP="002F24E0">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2F24E0" w:rsidRPr="00A075E5" w:rsidRDefault="002F24E0" w:rsidP="002F24E0">
            <w:pPr>
              <w:spacing w:line="276" w:lineRule="auto"/>
              <w:jc w:val="right"/>
              <w:rPr>
                <w:color w:val="000000"/>
              </w:rPr>
            </w:pPr>
          </w:p>
        </w:tc>
      </w:tr>
      <w:tr w:rsidR="002F24E0"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2F24E0"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28568314" w:rsidR="002F24E0" w:rsidRPr="002F24E0" w:rsidRDefault="002F24E0" w:rsidP="002F24E0">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tcPr>
          <w:p w14:paraId="5DBD7416" w14:textId="23425B99" w:rsidR="002F24E0" w:rsidRPr="0032204D" w:rsidRDefault="002F24E0" w:rsidP="002F24E0">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00292D10" w:rsidR="002F24E0" w:rsidRPr="002F24E0" w:rsidRDefault="002F24E0" w:rsidP="002F24E0">
            <w:pPr>
              <w:spacing w:line="276" w:lineRule="auto"/>
              <w:jc w:val="right"/>
              <w:rPr>
                <w:color w:val="000000"/>
              </w:rPr>
            </w:pPr>
            <w:r w:rsidRPr="002F24E0">
              <w:rPr>
                <w:color w:val="000000"/>
              </w:rPr>
              <w:t>5.88E-01</w:t>
            </w:r>
          </w:p>
        </w:tc>
        <w:tc>
          <w:tcPr>
            <w:tcW w:w="1163" w:type="dxa"/>
            <w:tcBorders>
              <w:top w:val="nil"/>
              <w:left w:val="nil"/>
              <w:bottom w:val="nil"/>
              <w:right w:val="nil"/>
            </w:tcBorders>
            <w:shd w:val="clear" w:color="auto" w:fill="auto"/>
            <w:noWrap/>
            <w:vAlign w:val="bottom"/>
          </w:tcPr>
          <w:p w14:paraId="1863FDEF" w14:textId="22D449D0" w:rsidR="002F24E0" w:rsidRPr="0032204D" w:rsidRDefault="002F24E0" w:rsidP="002F24E0">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2F24E0" w:rsidRPr="00A075E5" w:rsidRDefault="002F24E0" w:rsidP="002F24E0">
            <w:pPr>
              <w:spacing w:line="276" w:lineRule="auto"/>
              <w:jc w:val="right"/>
              <w:rPr>
                <w:color w:val="000000"/>
              </w:rPr>
            </w:pPr>
          </w:p>
        </w:tc>
      </w:tr>
      <w:tr w:rsidR="002F24E0"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2F24E0"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1100153E" w:rsidR="002F24E0" w:rsidRPr="002F24E0" w:rsidRDefault="002F24E0" w:rsidP="002F24E0">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tcPr>
          <w:p w14:paraId="324886E8" w14:textId="55471B6B" w:rsidR="002F24E0" w:rsidRPr="0032204D" w:rsidRDefault="002F24E0" w:rsidP="002F24E0">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4705507D" w:rsidR="002F24E0" w:rsidRPr="002F24E0" w:rsidRDefault="002F24E0" w:rsidP="002F24E0">
            <w:pPr>
              <w:spacing w:line="276" w:lineRule="auto"/>
              <w:jc w:val="right"/>
              <w:rPr>
                <w:color w:val="000000"/>
              </w:rPr>
            </w:pPr>
            <w:r w:rsidRPr="002F24E0">
              <w:rPr>
                <w:color w:val="000000"/>
              </w:rPr>
              <w:t>1.11E+00</w:t>
            </w:r>
          </w:p>
        </w:tc>
        <w:tc>
          <w:tcPr>
            <w:tcW w:w="1163" w:type="dxa"/>
            <w:tcBorders>
              <w:top w:val="nil"/>
              <w:left w:val="nil"/>
              <w:bottom w:val="nil"/>
              <w:right w:val="nil"/>
            </w:tcBorders>
            <w:shd w:val="clear" w:color="auto" w:fill="auto"/>
            <w:noWrap/>
            <w:vAlign w:val="bottom"/>
          </w:tcPr>
          <w:p w14:paraId="7AB9C23C" w14:textId="3F6A513C" w:rsidR="002F24E0" w:rsidRPr="0032204D" w:rsidRDefault="002F24E0" w:rsidP="002F24E0">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2F24E0" w:rsidRPr="00A075E5" w:rsidRDefault="002F24E0" w:rsidP="002F24E0">
            <w:pPr>
              <w:spacing w:line="276" w:lineRule="auto"/>
              <w:jc w:val="right"/>
              <w:rPr>
                <w:color w:val="000000"/>
              </w:rPr>
            </w:pPr>
          </w:p>
        </w:tc>
      </w:tr>
      <w:tr w:rsidR="002F24E0"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2F24E0"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BCDB7F6" w:rsidR="002F24E0" w:rsidRPr="002F24E0" w:rsidRDefault="002F24E0" w:rsidP="002F24E0">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tcPr>
          <w:p w14:paraId="5EB0A221" w14:textId="4FB5F3D9" w:rsidR="002F24E0" w:rsidRPr="0032204D" w:rsidRDefault="002F24E0" w:rsidP="002F24E0">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02DE3177" w:rsidR="002F24E0" w:rsidRPr="002F24E0" w:rsidRDefault="002F24E0" w:rsidP="002F24E0">
            <w:pPr>
              <w:spacing w:line="276" w:lineRule="auto"/>
              <w:jc w:val="right"/>
              <w:rPr>
                <w:color w:val="000000"/>
              </w:rPr>
            </w:pPr>
            <w:r w:rsidRPr="002F24E0">
              <w:rPr>
                <w:color w:val="000000"/>
              </w:rPr>
              <w:t>3.82E-03</w:t>
            </w:r>
          </w:p>
        </w:tc>
        <w:tc>
          <w:tcPr>
            <w:tcW w:w="1163" w:type="dxa"/>
            <w:tcBorders>
              <w:top w:val="nil"/>
              <w:left w:val="nil"/>
              <w:bottom w:val="nil"/>
              <w:right w:val="nil"/>
            </w:tcBorders>
            <w:shd w:val="clear" w:color="auto" w:fill="auto"/>
            <w:noWrap/>
            <w:vAlign w:val="bottom"/>
          </w:tcPr>
          <w:p w14:paraId="2D8EA4DA" w14:textId="7D008EC7" w:rsidR="002F24E0" w:rsidRPr="0032204D" w:rsidRDefault="002F24E0" w:rsidP="002F24E0">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2F24E0" w:rsidRPr="00A075E5" w:rsidRDefault="002F24E0" w:rsidP="002F24E0">
            <w:pPr>
              <w:spacing w:line="276" w:lineRule="auto"/>
              <w:jc w:val="right"/>
              <w:rPr>
                <w:color w:val="000000"/>
              </w:rPr>
            </w:pPr>
          </w:p>
        </w:tc>
      </w:tr>
      <w:tr w:rsidR="002F24E0"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2F24E0"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BBCE39D" w:rsidR="002F24E0" w:rsidRPr="002F24E0" w:rsidRDefault="002F24E0" w:rsidP="002F24E0">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tcPr>
          <w:p w14:paraId="49361A30" w14:textId="71B14B9F" w:rsidR="002F24E0" w:rsidRPr="0032204D" w:rsidRDefault="002F24E0" w:rsidP="002F24E0">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2F24E0" w:rsidRPr="00542E86" w:rsidRDefault="002F24E0" w:rsidP="002F24E0">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46A70F3" w:rsidR="002F24E0" w:rsidRPr="002F24E0" w:rsidRDefault="002F24E0" w:rsidP="002F24E0">
            <w:pPr>
              <w:spacing w:line="276" w:lineRule="auto"/>
              <w:jc w:val="right"/>
              <w:rPr>
                <w:color w:val="000000"/>
              </w:rPr>
            </w:pPr>
            <w:r w:rsidRPr="002F24E0">
              <w:rPr>
                <w:color w:val="000000"/>
              </w:rPr>
              <w:t>-1.21E-01</w:t>
            </w:r>
          </w:p>
        </w:tc>
        <w:tc>
          <w:tcPr>
            <w:tcW w:w="1163" w:type="dxa"/>
            <w:tcBorders>
              <w:top w:val="nil"/>
              <w:left w:val="nil"/>
              <w:bottom w:val="nil"/>
              <w:right w:val="nil"/>
            </w:tcBorders>
            <w:shd w:val="clear" w:color="auto" w:fill="auto"/>
            <w:noWrap/>
            <w:vAlign w:val="bottom"/>
          </w:tcPr>
          <w:p w14:paraId="250879DF" w14:textId="2C250241" w:rsidR="002F24E0" w:rsidRPr="0032204D" w:rsidRDefault="002F24E0" w:rsidP="002F24E0">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2F24E0" w:rsidRPr="0032204D" w:rsidRDefault="002F24E0" w:rsidP="002F24E0">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2F24E0" w:rsidRPr="00A075E5" w:rsidRDefault="002F24E0" w:rsidP="002F24E0">
            <w:pPr>
              <w:spacing w:line="276" w:lineRule="auto"/>
              <w:jc w:val="right"/>
              <w:rPr>
                <w:color w:val="000000"/>
              </w:rPr>
            </w:pPr>
          </w:p>
        </w:tc>
      </w:tr>
      <w:tr w:rsidR="002F24E0"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2F24E0"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7002D3C" w:rsidR="002F24E0" w:rsidRPr="002F24E0" w:rsidRDefault="002F24E0" w:rsidP="002F24E0">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tcPr>
          <w:p w14:paraId="46699A7D" w14:textId="70E74B95" w:rsidR="002F24E0" w:rsidRPr="0032204D" w:rsidRDefault="002F24E0" w:rsidP="002F24E0">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7F7D895" w:rsidR="002F24E0" w:rsidRPr="002F24E0" w:rsidRDefault="002F24E0" w:rsidP="002F24E0">
            <w:pPr>
              <w:spacing w:line="276" w:lineRule="auto"/>
              <w:jc w:val="right"/>
              <w:rPr>
                <w:color w:val="000000"/>
              </w:rPr>
            </w:pPr>
            <w:r w:rsidRPr="002F24E0">
              <w:rPr>
                <w:color w:val="000000"/>
              </w:rPr>
              <w:t>5.78E-04</w:t>
            </w:r>
          </w:p>
        </w:tc>
        <w:tc>
          <w:tcPr>
            <w:tcW w:w="1163" w:type="dxa"/>
            <w:tcBorders>
              <w:top w:val="nil"/>
              <w:left w:val="nil"/>
              <w:bottom w:val="nil"/>
              <w:right w:val="nil"/>
            </w:tcBorders>
            <w:shd w:val="clear" w:color="auto" w:fill="auto"/>
            <w:noWrap/>
            <w:vAlign w:val="bottom"/>
          </w:tcPr>
          <w:p w14:paraId="2AEF5B3F" w14:textId="321A9FB6" w:rsidR="002F24E0" w:rsidRPr="0032204D" w:rsidRDefault="002F24E0" w:rsidP="002F24E0">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2F24E0" w:rsidRPr="0032204D" w:rsidRDefault="002F24E0" w:rsidP="002F24E0">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2F24E0" w:rsidRPr="00A075E5" w:rsidRDefault="002F24E0" w:rsidP="002F24E0">
            <w:pPr>
              <w:spacing w:line="276" w:lineRule="auto"/>
              <w:jc w:val="right"/>
              <w:rPr>
                <w:color w:val="000000"/>
              </w:rPr>
            </w:pPr>
          </w:p>
        </w:tc>
      </w:tr>
      <w:tr w:rsidR="002F24E0"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2F24E0"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037D2D57" w:rsidR="002F24E0" w:rsidRPr="002F24E0" w:rsidRDefault="002F24E0" w:rsidP="002F24E0">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tcPr>
          <w:p w14:paraId="52C66B6B" w14:textId="4E29E12B" w:rsidR="002F24E0" w:rsidRPr="0032204D" w:rsidRDefault="002F24E0" w:rsidP="002F24E0">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3FCCB9E7" w:rsidR="002F24E0" w:rsidRPr="002F24E0" w:rsidRDefault="002F24E0" w:rsidP="002F24E0">
            <w:pPr>
              <w:spacing w:line="276" w:lineRule="auto"/>
              <w:jc w:val="right"/>
              <w:rPr>
                <w:color w:val="000000"/>
              </w:rPr>
            </w:pPr>
            <w:r w:rsidRPr="002F24E0">
              <w:rPr>
                <w:color w:val="000000"/>
              </w:rPr>
              <w:t>-2.20E-03</w:t>
            </w:r>
          </w:p>
        </w:tc>
        <w:tc>
          <w:tcPr>
            <w:tcW w:w="1163" w:type="dxa"/>
            <w:tcBorders>
              <w:top w:val="nil"/>
              <w:left w:val="nil"/>
              <w:right w:val="nil"/>
            </w:tcBorders>
            <w:shd w:val="clear" w:color="auto" w:fill="auto"/>
            <w:noWrap/>
            <w:vAlign w:val="bottom"/>
          </w:tcPr>
          <w:p w14:paraId="4F80B5EF" w14:textId="729DC9C3" w:rsidR="002F24E0" w:rsidRPr="0032204D" w:rsidRDefault="002F24E0" w:rsidP="002F24E0">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2F24E0" w:rsidRPr="00A075E5" w:rsidRDefault="002F24E0" w:rsidP="002F24E0">
            <w:pPr>
              <w:spacing w:line="276" w:lineRule="auto"/>
              <w:jc w:val="right"/>
              <w:rPr>
                <w:color w:val="000000"/>
              </w:rPr>
            </w:pPr>
          </w:p>
        </w:tc>
      </w:tr>
      <w:tr w:rsidR="002F24E0"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2F24E0"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7E3E4937" w:rsidR="002F24E0" w:rsidRPr="002F24E0" w:rsidRDefault="002F24E0" w:rsidP="002F24E0">
            <w:pPr>
              <w:spacing w:line="276" w:lineRule="auto"/>
              <w:jc w:val="right"/>
              <w:rPr>
                <w:color w:val="000000"/>
              </w:rPr>
            </w:pPr>
            <w:r w:rsidRPr="002F24E0">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2F24E0" w:rsidRPr="0032204D" w:rsidRDefault="002F24E0" w:rsidP="002F24E0">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2F24E0" w:rsidRPr="0032204D" w:rsidRDefault="002F24E0" w:rsidP="002F24E0">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4764E2AE" w:rsidR="002F24E0" w:rsidRPr="002F24E0" w:rsidRDefault="002F24E0" w:rsidP="002F24E0">
            <w:pPr>
              <w:spacing w:line="276" w:lineRule="auto"/>
              <w:jc w:val="right"/>
              <w:rPr>
                <w:color w:val="000000"/>
              </w:rPr>
            </w:pPr>
            <w:r w:rsidRPr="002F24E0">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2F24E0" w:rsidRPr="0032204D" w:rsidRDefault="002F24E0" w:rsidP="002F24E0">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2F24E0" w:rsidRPr="0032204D" w:rsidRDefault="002F24E0" w:rsidP="002F24E0">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2F24E0" w:rsidRPr="00A075E5" w:rsidRDefault="002F24E0" w:rsidP="002F24E0">
            <w:pPr>
              <w:spacing w:line="276" w:lineRule="auto"/>
              <w:jc w:val="right"/>
              <w:rPr>
                <w:color w:val="000000"/>
              </w:rPr>
            </w:pPr>
          </w:p>
        </w:tc>
      </w:tr>
    </w:tbl>
    <w:p w14:paraId="546C8CFD" w14:textId="77777777" w:rsidR="00CD6CA5" w:rsidRPr="00DA258F" w:rsidRDefault="00CD6CA5" w:rsidP="00CD6CA5">
      <w:pPr>
        <w:spacing w:line="276" w:lineRule="auto"/>
      </w:pPr>
    </w:p>
    <w:p w14:paraId="1BCAE101" w14:textId="77777777"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p>
    <w:p w14:paraId="02E80D5D" w14:textId="77777777" w:rsidR="00DE2B27" w:rsidRPr="000E7383" w:rsidRDefault="00DE2B27" w:rsidP="00DE2B27">
      <w:pPr>
        <w:spacing w:line="360" w:lineRule="auto"/>
        <w:rPr>
          <w:bCs/>
        </w:rPr>
      </w:pPr>
      <w:r w:rsidRPr="000E7383">
        <w:rPr>
          <w:bCs/>
          <w:i/>
          <w:iCs/>
        </w:rPr>
        <w:lastRenderedPageBreak/>
        <w:t>Nitrogen fixation</w:t>
      </w:r>
    </w:p>
    <w:p w14:paraId="1B5552E6" w14:textId="77777777" w:rsidR="00DE2B27" w:rsidRDefault="00DE2B27" w:rsidP="00DE2B27">
      <w:pPr>
        <w:spacing w:line="360" w:lineRule="auto"/>
        <w:ind w:firstLine="720"/>
        <w:rPr>
          <w:bCs/>
        </w:rPr>
      </w:pPr>
      <w:r>
        <w:rPr>
          <w:bCs/>
        </w:rPr>
        <w:t xml:space="preserve">Increasing fertilization generally decreased nodule biomass (Table 6; Fig. 5D), a pattern that was stronger in inoculated pots (Table 6, inoculation-by-fertilization interaction; Tukey: p&lt;0.001) and marginally stronger 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Pr>
          <w:bCs/>
        </w:rPr>
        <w:t>71</w:t>
      </w:r>
      <w:r w:rsidRPr="000E7383">
        <w:rPr>
          <w:bCs/>
        </w:rPr>
        <w:t>)</w:t>
      </w:r>
      <w:r>
        <w:rPr>
          <w:bCs/>
        </w:rPr>
        <w:t>. CO</w:t>
      </w:r>
      <w:r>
        <w:rPr>
          <w:bCs/>
          <w:vertAlign w:val="subscript"/>
        </w:rPr>
        <w:t>2</w:t>
      </w:r>
      <w:r>
        <w:rPr>
          <w:bCs/>
        </w:rPr>
        <w:t xml:space="preserve"> concentration did not modify the general positive effect of inoculation on nodule biomass, but nodule biomass was generally greater under elevated</w:t>
      </w:r>
      <w:r w:rsidRPr="00661F5E">
        <w:rPr>
          <w:bCs/>
        </w:rPr>
        <w:t xml:space="preserve"> </w:t>
      </w:r>
      <w:r w:rsidRPr="000E7383">
        <w:rPr>
          <w:bCs/>
        </w:rPr>
        <w:t>CO</w:t>
      </w:r>
      <w:r w:rsidRPr="000E7383">
        <w:rPr>
          <w:bCs/>
          <w:vertAlign w:val="subscript"/>
        </w:rPr>
        <w:t>2</w:t>
      </w:r>
      <w:r>
        <w:rPr>
          <w:bCs/>
        </w:rPr>
        <w:t xml:space="preserve"> (Table 6).</w:t>
      </w:r>
    </w:p>
    <w:p w14:paraId="3359F82E" w14:textId="77777777" w:rsidR="00DE2B27" w:rsidRPr="00DA1161" w:rsidRDefault="00DE2B27" w:rsidP="00DE2B27">
      <w:pPr>
        <w:spacing w:line="360" w:lineRule="auto"/>
        <w:ind w:firstLine="720"/>
        <w:rPr>
          <w:bCs/>
        </w:rPr>
      </w:pPr>
      <w:r>
        <w:rPr>
          <w:bCs/>
        </w:rPr>
        <w:t>Increasing fertilization generally decreased nodule biomass: root biomass, a pattern that was only apparent in inoculated pots (Table 6, inoculation-by-fertilization interaction; Tukey: p&lt;0.001; Fig. 5E). CO</w:t>
      </w:r>
      <w:r>
        <w:rPr>
          <w:bCs/>
          <w:vertAlign w:val="subscript"/>
        </w:rPr>
        <w:t>2</w:t>
      </w:r>
      <w:r>
        <w:rPr>
          <w:bCs/>
        </w:rPr>
        <w:t xml:space="preserve"> concentration did not modify the general positive effect of increasing fertilization, nor was there any general effect of CO</w:t>
      </w:r>
      <w:r>
        <w:rPr>
          <w:bCs/>
          <w:vertAlign w:val="subscript"/>
        </w:rPr>
        <w:t>2</w:t>
      </w:r>
      <w:r>
        <w:rPr>
          <w:bCs/>
        </w:rPr>
        <w:t xml:space="preserve"> concentration on nodule biomass: root biomass (Table 6). An interaction between CO</w:t>
      </w:r>
      <w:r>
        <w:rPr>
          <w:bCs/>
          <w:vertAlign w:val="subscript"/>
        </w:rPr>
        <w:t>2</w:t>
      </w:r>
      <w:r>
        <w:rPr>
          <w:bCs/>
        </w:rPr>
        <w:t xml:space="preserve"> concentration and inoculation revealed that the general positive effect of inoculation on root nodule biomass: root biomass was an order of magnitude greater under ambient CO</w:t>
      </w:r>
      <w:r>
        <w:rPr>
          <w:bCs/>
          <w:vertAlign w:val="subscript"/>
        </w:rPr>
        <w:t>2</w:t>
      </w:r>
      <w:r>
        <w:rPr>
          <w:bCs/>
        </w:rPr>
        <w:t xml:space="preserve"> (3174% increase; Tukey: p&lt;0.001) than under elevated CO</w:t>
      </w:r>
      <w:r>
        <w:rPr>
          <w:bCs/>
          <w:vertAlign w:val="subscript"/>
        </w:rPr>
        <w:t>2</w:t>
      </w:r>
      <w:r>
        <w:rPr>
          <w:bCs/>
        </w:rPr>
        <w:t xml:space="preserve"> (465% increase; Tukey: p&lt;0.001).</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DE2B27">
      <w:pPr>
        <w:spacing w:line="360" w:lineRule="auto"/>
        <w:rPr>
          <w:bCs/>
        </w:rPr>
      </w:pPr>
      <w:r>
        <w:rPr>
          <w:b/>
        </w:rPr>
        <w:lastRenderedPageBreak/>
        <w:t>F</w:t>
      </w:r>
      <w:r w:rsidR="0009584F">
        <w:rPr>
          <w:b/>
        </w:rPr>
        <w:t xml:space="preserve">igure </w:t>
      </w:r>
      <w:r w:rsidR="00542E86">
        <w:rPr>
          <w:b/>
        </w:rPr>
        <w:t>5</w:t>
      </w:r>
    </w:p>
    <w:p w14:paraId="1283A935" w14:textId="7AB166C0" w:rsidR="00F97E90" w:rsidRPr="00A67FF2" w:rsidRDefault="001861D2" w:rsidP="00DE2B27">
      <w:pPr>
        <w:spacing w:line="360" w:lineRule="auto"/>
        <w:rPr>
          <w:bCs/>
        </w:rPr>
      </w:pPr>
      <w:r>
        <w:rPr>
          <w:bCs/>
          <w:noProof/>
        </w:rPr>
        <w:drawing>
          <wp:inline distT="0" distB="0" distL="0" distR="0" wp14:anchorId="02BFBCCE" wp14:editId="450F1B7F">
            <wp:extent cx="5943600" cy="29718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p>
    <w:p w14:paraId="34F9873B" w14:textId="350FF6AB" w:rsidR="00325067" w:rsidRDefault="00F97E90" w:rsidP="00DE2B27">
      <w:pPr>
        <w:spacing w:line="36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 xml:space="preserve">is </w:t>
      </w:r>
      <w:proofErr w:type="gramStart"/>
      <w:r w:rsidR="00370533">
        <w:rPr>
          <w:bCs/>
        </w:rPr>
        <w:t>a</w:t>
      </w:r>
      <w:proofErr w:type="gramEnd"/>
      <w:r w:rsidR="00370533">
        <w:rPr>
          <w:bCs/>
        </w:rPr>
        <w:t xml:space="preserve">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039E4E1F" w14:textId="182A6F75" w:rsidR="00391BFD" w:rsidRPr="00391BFD" w:rsidRDefault="00E60BAC" w:rsidP="00391BFD">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391BFD" w:rsidRPr="00391BFD">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391BFD" w:rsidRPr="00391BFD">
        <w:rPr>
          <w:i/>
          <w:iCs/>
          <w:noProof/>
        </w:rPr>
        <w:t>Global Change Biology</w:t>
      </w:r>
      <w:r w:rsidR="00391BFD" w:rsidRPr="00391BFD">
        <w:rPr>
          <w:noProof/>
        </w:rPr>
        <w:t xml:space="preserve">, </w:t>
      </w:r>
      <w:r w:rsidR="00391BFD" w:rsidRPr="00391BFD">
        <w:rPr>
          <w:i/>
          <w:iCs/>
          <w:noProof/>
        </w:rPr>
        <w:t>8</w:t>
      </w:r>
      <w:r w:rsidR="00391BFD" w:rsidRPr="00391BFD">
        <w:rPr>
          <w:noProof/>
        </w:rPr>
        <w:t>(8), 695–709. https://doi.org/10.1046/j.1365-2486.2002.00498.x</w:t>
      </w:r>
    </w:p>
    <w:p w14:paraId="6B27AF42"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Ainsworth, E. A., &amp; Long, S. P. (2005). What have we learned from 15 years of free-air CO2 enrichment (FACE)? A meta-analytic review of the responses of photosynthesis, canopy properties and plant production to rising CO2. </w:t>
      </w:r>
      <w:r w:rsidRPr="00391BFD">
        <w:rPr>
          <w:i/>
          <w:iCs/>
          <w:noProof/>
        </w:rPr>
        <w:t>New Phytologist</w:t>
      </w:r>
      <w:r w:rsidRPr="00391BFD">
        <w:rPr>
          <w:noProof/>
        </w:rPr>
        <w:t xml:space="preserve">, </w:t>
      </w:r>
      <w:r w:rsidRPr="00391BFD">
        <w:rPr>
          <w:i/>
          <w:iCs/>
          <w:noProof/>
        </w:rPr>
        <w:t>165</w:t>
      </w:r>
      <w:r w:rsidRPr="00391BFD">
        <w:rPr>
          <w:noProof/>
        </w:rPr>
        <w:t>(2), 351–372. https://doi.org/10.1111/j.1469-8137.2004.01224.x</w:t>
      </w:r>
    </w:p>
    <w:p w14:paraId="6C7B796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Ainsworth, E. A., &amp; Rogers, A. (2007). The response of photosynthesis and stomatal conductance to rising [CO2]: mechanisms and environmental interactions. </w:t>
      </w:r>
      <w:r w:rsidRPr="00391BFD">
        <w:rPr>
          <w:i/>
          <w:iCs/>
          <w:noProof/>
        </w:rPr>
        <w:t>Plant, Cell &amp; Environment</w:t>
      </w:r>
      <w:r w:rsidRPr="00391BFD">
        <w:rPr>
          <w:noProof/>
        </w:rPr>
        <w:t xml:space="preserve">, </w:t>
      </w:r>
      <w:r w:rsidRPr="00391BFD">
        <w:rPr>
          <w:i/>
          <w:iCs/>
          <w:noProof/>
        </w:rPr>
        <w:t>30</w:t>
      </w:r>
      <w:r w:rsidRPr="00391BFD">
        <w:rPr>
          <w:noProof/>
        </w:rPr>
        <w:t>(3), 258–270. https://doi.org/10.1111/j.1365-3040.2007.01641.x</w:t>
      </w:r>
    </w:p>
    <w:p w14:paraId="57EE2D94"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Allen, K., Fisher, J. B., Phillips, R. P., Powers, J. S., &amp; Brzostek, E. R. (2020). Modeling the carbon cost of plant nitrogen and phosphorus uptake across temperate and tropical forests. </w:t>
      </w:r>
      <w:r w:rsidRPr="00391BFD">
        <w:rPr>
          <w:i/>
          <w:iCs/>
          <w:noProof/>
        </w:rPr>
        <w:t>Frontiers in Forests and Global Change</w:t>
      </w:r>
      <w:r w:rsidRPr="00391BFD">
        <w:rPr>
          <w:noProof/>
        </w:rPr>
        <w:t xml:space="preserve">, </w:t>
      </w:r>
      <w:r w:rsidRPr="00391BFD">
        <w:rPr>
          <w:i/>
          <w:iCs/>
          <w:noProof/>
        </w:rPr>
        <w:t>3</w:t>
      </w:r>
      <w:r w:rsidRPr="00391BFD">
        <w:rPr>
          <w:noProof/>
        </w:rPr>
        <w:t>(May), 1–12. https://doi.org/10.3389/ffgc.2020.00043</w:t>
      </w:r>
    </w:p>
    <w:p w14:paraId="67575EA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Andrews, M., James, E. K., Sprent, J. I., Boddey, R. M., Gross, E., &amp; dos Reis, F. B. (2011). Nitrogen fixation in legumes and actinorhizal plants in natural ecosystems: Values obtained using 15N natural abundance. </w:t>
      </w:r>
      <w:r w:rsidRPr="00391BFD">
        <w:rPr>
          <w:i/>
          <w:iCs/>
          <w:noProof/>
        </w:rPr>
        <w:t>Plant Ecology and Diversity</w:t>
      </w:r>
      <w:r w:rsidRPr="00391BFD">
        <w:rPr>
          <w:noProof/>
        </w:rPr>
        <w:t xml:space="preserve">, </w:t>
      </w:r>
      <w:r w:rsidRPr="00391BFD">
        <w:rPr>
          <w:i/>
          <w:iCs/>
          <w:noProof/>
        </w:rPr>
        <w:t>4</w:t>
      </w:r>
      <w:r w:rsidRPr="00391BFD">
        <w:rPr>
          <w:noProof/>
        </w:rPr>
        <w:t>(2–3), 117–130. https://doi.org/10.1080/17550874.2011.644343</w:t>
      </w:r>
    </w:p>
    <w:p w14:paraId="1DD72F5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Arora, V. K., Katavouta, A., Williams, R. G., Jones, C. D., Brovkin, V., Friedlingstein, P., Schwinger, J., Bopp, L., Boucher, O., Cadule, P., Chamberlain, M. A., Christian, J. R., </w:t>
      </w:r>
      <w:r w:rsidRPr="00391BFD">
        <w:rPr>
          <w:noProof/>
        </w:rPr>
        <w:lastRenderedPageBreak/>
        <w:t xml:space="preserve">Delire, C., Fisher, R. A., Hajima, T., Ilyina, T., Joetzjer, E., Kawamiya, M., Koven, C. D., … Ziehn, T. (2020). Carbon-concentration and carbon-climate feedbacks in CMIP6 models and their comparison to CMIP5 models. </w:t>
      </w:r>
      <w:r w:rsidRPr="00391BFD">
        <w:rPr>
          <w:i/>
          <w:iCs/>
          <w:noProof/>
        </w:rPr>
        <w:t>Biogeosciences</w:t>
      </w:r>
      <w:r w:rsidRPr="00391BFD">
        <w:rPr>
          <w:noProof/>
        </w:rPr>
        <w:t xml:space="preserve">, </w:t>
      </w:r>
      <w:r w:rsidRPr="00391BFD">
        <w:rPr>
          <w:i/>
          <w:iCs/>
          <w:noProof/>
        </w:rPr>
        <w:t>17</w:t>
      </w:r>
      <w:r w:rsidRPr="00391BFD">
        <w:rPr>
          <w:noProof/>
        </w:rPr>
        <w:t>(16), 4173–4222. https://doi.org/10.5194/bg-17-4173-2020</w:t>
      </w:r>
    </w:p>
    <w:p w14:paraId="6340146A"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Barber, S. A. (1962). A diffusion and mass-flow concept of soil nutrient availability. </w:t>
      </w:r>
      <w:r w:rsidRPr="00391BFD">
        <w:rPr>
          <w:i/>
          <w:iCs/>
          <w:noProof/>
        </w:rPr>
        <w:t>Soil Science</w:t>
      </w:r>
      <w:r w:rsidRPr="00391BFD">
        <w:rPr>
          <w:noProof/>
        </w:rPr>
        <w:t xml:space="preserve">, </w:t>
      </w:r>
      <w:r w:rsidRPr="00391BFD">
        <w:rPr>
          <w:i/>
          <w:iCs/>
          <w:noProof/>
        </w:rPr>
        <w:t>93</w:t>
      </w:r>
      <w:r w:rsidRPr="00391BFD">
        <w:rPr>
          <w:noProof/>
        </w:rPr>
        <w:t>(1), 39–49.</w:t>
      </w:r>
    </w:p>
    <w:p w14:paraId="2C5C115B"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Barnes, J. D., Balaguer, L., Manrique, E., Elvira, S., &amp; Davison, A. W. (1992). A reappraisal of the use of DMSO for the extraction and determination of chlorophylls a and b in lichens and higher plants. </w:t>
      </w:r>
      <w:r w:rsidRPr="00391BFD">
        <w:rPr>
          <w:i/>
          <w:iCs/>
          <w:noProof/>
        </w:rPr>
        <w:t>Environmental and Experimental Botany</w:t>
      </w:r>
      <w:r w:rsidRPr="00391BFD">
        <w:rPr>
          <w:noProof/>
        </w:rPr>
        <w:t xml:space="preserve">, </w:t>
      </w:r>
      <w:r w:rsidRPr="00391BFD">
        <w:rPr>
          <w:i/>
          <w:iCs/>
          <w:noProof/>
        </w:rPr>
        <w:t>32</w:t>
      </w:r>
      <w:r w:rsidRPr="00391BFD">
        <w:rPr>
          <w:noProof/>
        </w:rPr>
        <w:t>(2), 85–100. https://doi.org/10.1016/0098-8472(92)90034-Y</w:t>
      </w:r>
    </w:p>
    <w:p w14:paraId="6312AAA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Bates, D., Mächler, M., Bolker, B., &amp; Walker, S. (2015). Fitting linear mixed-effects models using lme4. </w:t>
      </w:r>
      <w:r w:rsidRPr="00391BFD">
        <w:rPr>
          <w:i/>
          <w:iCs/>
          <w:noProof/>
        </w:rPr>
        <w:t>Journal of Statistical Software</w:t>
      </w:r>
      <w:r w:rsidRPr="00391BFD">
        <w:rPr>
          <w:noProof/>
        </w:rPr>
        <w:t xml:space="preserve">, </w:t>
      </w:r>
      <w:r w:rsidRPr="00391BFD">
        <w:rPr>
          <w:i/>
          <w:iCs/>
          <w:noProof/>
        </w:rPr>
        <w:t>67</w:t>
      </w:r>
      <w:r w:rsidRPr="00391BFD">
        <w:rPr>
          <w:noProof/>
        </w:rPr>
        <w:t>(1), 1–48. https://doi.org/10.18637/jss.v067.i01</w:t>
      </w:r>
    </w:p>
    <w:p w14:paraId="5E296CE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Bialic‐Murphy, L., Smith, N. G., Voothuluru, P., McElderry, R. M., Roche, M. D., Cassidy, S. T., Kivlin, S. N., &amp; Kalisz, S. (2021). Invasion‐induced root–fungal disruptions alter plant water and nitrogen economies. </w:t>
      </w:r>
      <w:r w:rsidRPr="00391BFD">
        <w:rPr>
          <w:i/>
          <w:iCs/>
          <w:noProof/>
        </w:rPr>
        <w:t>Ecology Letters</w:t>
      </w:r>
      <w:r w:rsidRPr="00391BFD">
        <w:rPr>
          <w:noProof/>
        </w:rPr>
        <w:t xml:space="preserve">, </w:t>
      </w:r>
      <w:r w:rsidRPr="00391BFD">
        <w:rPr>
          <w:i/>
          <w:iCs/>
          <w:noProof/>
        </w:rPr>
        <w:t>24</w:t>
      </w:r>
      <w:r w:rsidRPr="00391BFD">
        <w:rPr>
          <w:noProof/>
        </w:rPr>
        <w:t>(6), 1145–1156. https://doi.org/10.1111/ele.13724</w:t>
      </w:r>
    </w:p>
    <w:p w14:paraId="7644E35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Braghiere, R. K., Fisher, J. B., Allen, K., Brzostek, E. R., Shi, M., Yang, X., Ricciuto, D. M., Fisher, R. A., Zhu, Q., &amp; Phillips, R. P. (2022). Modeling global carbon costs of plant nitrogen and phosphorus acquisition. </w:t>
      </w:r>
      <w:r w:rsidRPr="00391BFD">
        <w:rPr>
          <w:i/>
          <w:iCs/>
          <w:noProof/>
        </w:rPr>
        <w:t>Journal of Advances in Modeling Earth Systems</w:t>
      </w:r>
      <w:r w:rsidRPr="00391BFD">
        <w:rPr>
          <w:noProof/>
        </w:rPr>
        <w:t xml:space="preserve">, </w:t>
      </w:r>
      <w:r w:rsidRPr="00391BFD">
        <w:rPr>
          <w:i/>
          <w:iCs/>
          <w:noProof/>
        </w:rPr>
        <w:t>14</w:t>
      </w:r>
      <w:r w:rsidRPr="00391BFD">
        <w:rPr>
          <w:noProof/>
        </w:rPr>
        <w:t>(8), 1–23. https://doi.org/10.1029/2022MS003204</w:t>
      </w:r>
    </w:p>
    <w:p w14:paraId="4BD35F1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Brzostek, E. R., Fisher, J. B., &amp; Phillips, R. P. (2014). Modeling the carbon cost of plant nitrogen acquisition: Mycorrhizal trade-offs and multipath resistance uptake improve predictions of </w:t>
      </w:r>
      <w:r w:rsidRPr="00391BFD">
        <w:rPr>
          <w:noProof/>
        </w:rPr>
        <w:lastRenderedPageBreak/>
        <w:t xml:space="preserve">retranslocation. </w:t>
      </w:r>
      <w:r w:rsidRPr="00391BFD">
        <w:rPr>
          <w:i/>
          <w:iCs/>
          <w:noProof/>
        </w:rPr>
        <w:t>Journal of Geophysical Research: Biogeosciences</w:t>
      </w:r>
      <w:r w:rsidRPr="00391BFD">
        <w:rPr>
          <w:noProof/>
        </w:rPr>
        <w:t xml:space="preserve">, </w:t>
      </w:r>
      <w:r w:rsidRPr="00391BFD">
        <w:rPr>
          <w:i/>
          <w:iCs/>
          <w:noProof/>
        </w:rPr>
        <w:t>119</w:t>
      </w:r>
      <w:r w:rsidRPr="00391BFD">
        <w:rPr>
          <w:noProof/>
        </w:rPr>
        <w:t>, 1684–1697. https://doi.org/10.1002/2014JG002660.Received</w:t>
      </w:r>
    </w:p>
    <w:p w14:paraId="06F4F751"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Cernusak, L. A., Ubierna, N., Winter, K., Holtum, J. A. M., Marshall, J. D., &amp; Farquhar, G. D. (2013). Environmental and physiological determinants of carbon isotope discrimination in terrestrial plants. </w:t>
      </w:r>
      <w:r w:rsidRPr="00391BFD">
        <w:rPr>
          <w:i/>
          <w:iCs/>
          <w:noProof/>
        </w:rPr>
        <w:t>New Phytologist</w:t>
      </w:r>
      <w:r w:rsidRPr="00391BFD">
        <w:rPr>
          <w:noProof/>
        </w:rPr>
        <w:t xml:space="preserve">, </w:t>
      </w:r>
      <w:r w:rsidRPr="00391BFD">
        <w:rPr>
          <w:i/>
          <w:iCs/>
          <w:noProof/>
        </w:rPr>
        <w:t>200</w:t>
      </w:r>
      <w:r w:rsidRPr="00391BFD">
        <w:rPr>
          <w:noProof/>
        </w:rPr>
        <w:t>(4), 950–965. https://doi.org/10.1111/nph.12423</w:t>
      </w:r>
    </w:p>
    <w:p w14:paraId="7EC083B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Chen, J.-L., Reynolds, J. F., Harley, P. C., &amp; Tenhunen, J. D. (1993). Coordination theory of leaf nitrogen distribution in a canopy. </w:t>
      </w:r>
      <w:r w:rsidRPr="00391BFD">
        <w:rPr>
          <w:i/>
          <w:iCs/>
          <w:noProof/>
        </w:rPr>
        <w:t>Oecologia</w:t>
      </w:r>
      <w:r w:rsidRPr="00391BFD">
        <w:rPr>
          <w:noProof/>
        </w:rPr>
        <w:t xml:space="preserve">, </w:t>
      </w:r>
      <w:r w:rsidRPr="00391BFD">
        <w:rPr>
          <w:i/>
          <w:iCs/>
          <w:noProof/>
        </w:rPr>
        <w:t>93</w:t>
      </w:r>
      <w:r w:rsidRPr="00391BFD">
        <w:rPr>
          <w:noProof/>
        </w:rPr>
        <w:t>(1), 63–69. https://doi.org/10.1007/BF00321192</w:t>
      </w:r>
    </w:p>
    <w:p w14:paraId="3A8AD50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Curtis, P. S. (1996). A meta-analysis of leaf gas exchange and nitrogen in trees grown under elevated carbon dioxide. </w:t>
      </w:r>
      <w:r w:rsidRPr="00391BFD">
        <w:rPr>
          <w:i/>
          <w:iCs/>
          <w:noProof/>
        </w:rPr>
        <w:t>Plant, Cell and Environment</w:t>
      </w:r>
      <w:r w:rsidRPr="00391BFD">
        <w:rPr>
          <w:noProof/>
        </w:rPr>
        <w:t xml:space="preserve">, </w:t>
      </w:r>
      <w:r w:rsidRPr="00391BFD">
        <w:rPr>
          <w:i/>
          <w:iCs/>
          <w:noProof/>
        </w:rPr>
        <w:t>19</w:t>
      </w:r>
      <w:r w:rsidRPr="00391BFD">
        <w:rPr>
          <w:noProof/>
        </w:rPr>
        <w:t>(2), 127–137. https://doi.org/10.1111/j.1365-3040.1996.tb00234.x</w:t>
      </w:r>
    </w:p>
    <w:p w14:paraId="7B1B78FB"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Davies-Barnard, T., Meyerholt, J., Zaehle, S., Friedlingstein, P., Brovkin, V., Fan, Y., Fisher, R. A., Jones, C. D., Lee, H., Peano, D., Smith, B., Wårlind, D., &amp; Wiltshire, A. J. (2020). Nitrogen cycling in CMIP6 land surface models: progress and limitations. </w:t>
      </w:r>
      <w:r w:rsidRPr="00391BFD">
        <w:rPr>
          <w:i/>
          <w:iCs/>
          <w:noProof/>
        </w:rPr>
        <w:t>Biogeosciences</w:t>
      </w:r>
      <w:r w:rsidRPr="00391BFD">
        <w:rPr>
          <w:noProof/>
        </w:rPr>
        <w:t xml:space="preserve">, </w:t>
      </w:r>
      <w:r w:rsidRPr="00391BFD">
        <w:rPr>
          <w:i/>
          <w:iCs/>
          <w:noProof/>
        </w:rPr>
        <w:t>17</w:t>
      </w:r>
      <w:r w:rsidRPr="00391BFD">
        <w:rPr>
          <w:noProof/>
        </w:rPr>
        <w:t>(20), 5129–5148. https://doi.org/10.5194/bg-17-5129-2020</w:t>
      </w:r>
    </w:p>
    <w:p w14:paraId="67FD36A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Dong, N., Prentice, I. C., Evans, B. J., Caddy-Retalic, S., Lowe, A. J., &amp; Wright, I. J. (2017). Leaf nitrogen from first principles: field evidence for adaptive variation with climate. </w:t>
      </w:r>
      <w:r w:rsidRPr="00391BFD">
        <w:rPr>
          <w:i/>
          <w:iCs/>
          <w:noProof/>
        </w:rPr>
        <w:t>Biogeosciences</w:t>
      </w:r>
      <w:r w:rsidRPr="00391BFD">
        <w:rPr>
          <w:noProof/>
        </w:rPr>
        <w:t xml:space="preserve">, </w:t>
      </w:r>
      <w:r w:rsidRPr="00391BFD">
        <w:rPr>
          <w:i/>
          <w:iCs/>
          <w:noProof/>
        </w:rPr>
        <w:t>14</w:t>
      </w:r>
      <w:r w:rsidRPr="00391BFD">
        <w:rPr>
          <w:noProof/>
        </w:rPr>
        <w:t>(2), 481–495. https://doi.org/10.5194/bg-14-481-2017</w:t>
      </w:r>
    </w:p>
    <w:p w14:paraId="7826C66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Dong, N., Prentice, I. C., Wright, I. J., Evans, B. J., Togashi, H. F., Caddy-Retalic, S., McInerney, F. A., Sparrow, B., Leitch, E., &amp; Lowe, A. J. (2020). Components of leaf‐trait variation along environmental gradients. </w:t>
      </w:r>
      <w:r w:rsidRPr="00391BFD">
        <w:rPr>
          <w:i/>
          <w:iCs/>
          <w:noProof/>
        </w:rPr>
        <w:t>New Phytologist</w:t>
      </w:r>
      <w:r w:rsidRPr="00391BFD">
        <w:rPr>
          <w:noProof/>
        </w:rPr>
        <w:t xml:space="preserve">, </w:t>
      </w:r>
      <w:r w:rsidRPr="00391BFD">
        <w:rPr>
          <w:i/>
          <w:iCs/>
          <w:noProof/>
        </w:rPr>
        <w:t>228</w:t>
      </w:r>
      <w:r w:rsidRPr="00391BFD">
        <w:rPr>
          <w:noProof/>
        </w:rPr>
        <w:t>(1), 82–94. https://doi.org/10.1111/nph.16558</w:t>
      </w:r>
    </w:p>
    <w:p w14:paraId="029796C0"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Dong, N., Prentice, I. C., Wright, I. J., Wang, H., Atkin, O. K., Bloomfield, K. J., Domingues, T. </w:t>
      </w:r>
      <w:r w:rsidRPr="00391BFD">
        <w:rPr>
          <w:noProof/>
        </w:rPr>
        <w:lastRenderedPageBreak/>
        <w:t xml:space="preserve">F., Gleason, S. M., Maire, V., Onoda, Y., Poorter, H., &amp; Smith, N. G. (2022). Leaf nitrogen from the perspective of optimal plant function. </w:t>
      </w:r>
      <w:r w:rsidRPr="00391BFD">
        <w:rPr>
          <w:i/>
          <w:iCs/>
          <w:noProof/>
        </w:rPr>
        <w:t>Journal of Ecology</w:t>
      </w:r>
      <w:r w:rsidRPr="00391BFD">
        <w:rPr>
          <w:noProof/>
        </w:rPr>
        <w:t xml:space="preserve">, </w:t>
      </w:r>
      <w:r w:rsidRPr="00391BFD">
        <w:rPr>
          <w:i/>
          <w:iCs/>
          <w:noProof/>
        </w:rPr>
        <w:t>110</w:t>
      </w:r>
      <w:r w:rsidRPr="00391BFD">
        <w:rPr>
          <w:noProof/>
        </w:rPr>
        <w:t>(11), 2585–2602. https://doi.org/10.1111/1365-2745.13967</w:t>
      </w:r>
    </w:p>
    <w:p w14:paraId="0C7EF222"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Dong, N., Wright, I. J., Chen, J. M., Luo, X., Wang, H., Keenan, T. F., Smith, N. G., &amp; Prentice, I. C. (2022). Rising CO 2 and warming reduce global canopy demand for nitrogen. </w:t>
      </w:r>
      <w:r w:rsidRPr="00391BFD">
        <w:rPr>
          <w:i/>
          <w:iCs/>
          <w:noProof/>
        </w:rPr>
        <w:t>New Phytologist</w:t>
      </w:r>
      <w:r w:rsidRPr="00391BFD">
        <w:rPr>
          <w:noProof/>
        </w:rPr>
        <w:t xml:space="preserve">, </w:t>
      </w:r>
      <w:r w:rsidRPr="00391BFD">
        <w:rPr>
          <w:i/>
          <w:iCs/>
          <w:noProof/>
        </w:rPr>
        <w:t>235</w:t>
      </w:r>
      <w:r w:rsidRPr="00391BFD">
        <w:rPr>
          <w:noProof/>
        </w:rPr>
        <w:t>(5), 1692–1700. https://doi.org/10.1111/nph.18076</w:t>
      </w:r>
    </w:p>
    <w:p w14:paraId="7D1BC68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Dovrat, G., Bakhshian, H., Masci, T., &amp; Sheffer, E. (2020). The nitrogen economic spectrum of legume stoichiometry and fixation strategy. </w:t>
      </w:r>
      <w:r w:rsidRPr="00391BFD">
        <w:rPr>
          <w:i/>
          <w:iCs/>
          <w:noProof/>
        </w:rPr>
        <w:t>New Phytologist</w:t>
      </w:r>
      <w:r w:rsidRPr="00391BFD">
        <w:rPr>
          <w:noProof/>
        </w:rPr>
        <w:t xml:space="preserve">, </w:t>
      </w:r>
      <w:r w:rsidRPr="00391BFD">
        <w:rPr>
          <w:i/>
          <w:iCs/>
          <w:noProof/>
        </w:rPr>
        <w:t>227</w:t>
      </w:r>
      <w:r w:rsidRPr="00391BFD">
        <w:rPr>
          <w:noProof/>
        </w:rPr>
        <w:t>(2), 365–375. https://doi.org/10.1111/nph.16543</w:t>
      </w:r>
    </w:p>
    <w:p w14:paraId="2D9C71D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Dovrat, G., Masci, T., Bakhshian, H., Mayzlish Gati, E., Golan, S., &amp; Sheffer, E. (2018). Drought-adapted plants dramatically downregulate dinitrogen fixation: Evidences from Mediterranean legume shrubs. </w:t>
      </w:r>
      <w:r w:rsidRPr="00391BFD">
        <w:rPr>
          <w:i/>
          <w:iCs/>
          <w:noProof/>
        </w:rPr>
        <w:t>Journal of Ecology</w:t>
      </w:r>
      <w:r w:rsidRPr="00391BFD">
        <w:rPr>
          <w:noProof/>
        </w:rPr>
        <w:t xml:space="preserve">, </w:t>
      </w:r>
      <w:r w:rsidRPr="00391BFD">
        <w:rPr>
          <w:i/>
          <w:iCs/>
          <w:noProof/>
        </w:rPr>
        <w:t>106</w:t>
      </w:r>
      <w:r w:rsidRPr="00391BFD">
        <w:rPr>
          <w:noProof/>
        </w:rPr>
        <w:t>(4), 1534–1544. https://doi.org/10.1111/1365-2745.12940</w:t>
      </w:r>
    </w:p>
    <w:p w14:paraId="65C82E61"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Duursma, R. (2015). Plantecophys - An R package for analyzing and modelling leaf gas exchange data. </w:t>
      </w:r>
      <w:r w:rsidRPr="00391BFD">
        <w:rPr>
          <w:i/>
          <w:iCs/>
          <w:noProof/>
        </w:rPr>
        <w:t>PLos ONE</w:t>
      </w:r>
      <w:r w:rsidRPr="00391BFD">
        <w:rPr>
          <w:noProof/>
        </w:rPr>
        <w:t xml:space="preserve">, </w:t>
      </w:r>
      <w:r w:rsidRPr="00391BFD">
        <w:rPr>
          <w:i/>
          <w:iCs/>
          <w:noProof/>
        </w:rPr>
        <w:t>10</w:t>
      </w:r>
      <w:r w:rsidRPr="00391BFD">
        <w:rPr>
          <w:noProof/>
        </w:rPr>
        <w:t>(11), e0143346. https://doi.org/10.1371/journal.pone.0143346&gt;</w:t>
      </w:r>
    </w:p>
    <w:p w14:paraId="4BA820F2"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Evans, J. R. (1989). Photosynthesis and nitrogen relationships in leaves of C3 plants. </w:t>
      </w:r>
      <w:r w:rsidRPr="00391BFD">
        <w:rPr>
          <w:i/>
          <w:iCs/>
          <w:noProof/>
        </w:rPr>
        <w:t>Oecologia</w:t>
      </w:r>
      <w:r w:rsidRPr="00391BFD">
        <w:rPr>
          <w:noProof/>
        </w:rPr>
        <w:t xml:space="preserve">, </w:t>
      </w:r>
      <w:r w:rsidRPr="00391BFD">
        <w:rPr>
          <w:i/>
          <w:iCs/>
          <w:noProof/>
        </w:rPr>
        <w:t>78</w:t>
      </w:r>
      <w:r w:rsidRPr="00391BFD">
        <w:rPr>
          <w:noProof/>
        </w:rPr>
        <w:t>(1), 9–19. https://doi.org/10.1007/BF00377192</w:t>
      </w:r>
    </w:p>
    <w:p w14:paraId="0C04B85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Evans, J. R., &amp; Clarke, V. C. (2019). The nitrogen cost of photosynthesis. </w:t>
      </w:r>
      <w:r w:rsidRPr="00391BFD">
        <w:rPr>
          <w:i/>
          <w:iCs/>
          <w:noProof/>
        </w:rPr>
        <w:t>Journal of Experimental Botany</w:t>
      </w:r>
      <w:r w:rsidRPr="00391BFD">
        <w:rPr>
          <w:noProof/>
        </w:rPr>
        <w:t xml:space="preserve">, </w:t>
      </w:r>
      <w:r w:rsidRPr="00391BFD">
        <w:rPr>
          <w:i/>
          <w:iCs/>
          <w:noProof/>
        </w:rPr>
        <w:t>70</w:t>
      </w:r>
      <w:r w:rsidRPr="00391BFD">
        <w:rPr>
          <w:noProof/>
        </w:rPr>
        <w:t>(1), 7–15. https://doi.org/10.1093/jxb/ery366</w:t>
      </w:r>
    </w:p>
    <w:p w14:paraId="2C21701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Evans, J. R., &amp; Seemann, J. R. (1989). The allocation of protein nitrogen in the photosynthetic apparatus: costs, consequences, and control. </w:t>
      </w:r>
      <w:r w:rsidRPr="00391BFD">
        <w:rPr>
          <w:i/>
          <w:iCs/>
          <w:noProof/>
        </w:rPr>
        <w:t>Photosynthesis</w:t>
      </w:r>
      <w:r w:rsidRPr="00391BFD">
        <w:rPr>
          <w:noProof/>
        </w:rPr>
        <w:t xml:space="preserve">, </w:t>
      </w:r>
      <w:r w:rsidRPr="00391BFD">
        <w:rPr>
          <w:i/>
          <w:iCs/>
          <w:noProof/>
        </w:rPr>
        <w:t>8</w:t>
      </w:r>
      <w:r w:rsidRPr="00391BFD">
        <w:rPr>
          <w:noProof/>
        </w:rPr>
        <w:t>, 183–205.</w:t>
      </w:r>
    </w:p>
    <w:p w14:paraId="19D63E4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Farquhar, G. D., Ehleringer, J. R., &amp; Hubick, K. T. (1989). Carbon Isotope Discrimination and </w:t>
      </w:r>
      <w:r w:rsidRPr="00391BFD">
        <w:rPr>
          <w:noProof/>
        </w:rPr>
        <w:lastRenderedPageBreak/>
        <w:t xml:space="preserve">Photosynthesis. </w:t>
      </w:r>
      <w:r w:rsidRPr="00391BFD">
        <w:rPr>
          <w:i/>
          <w:iCs/>
          <w:noProof/>
        </w:rPr>
        <w:t>Annual Review of Plant Physiology and Plant Molecular Biology</w:t>
      </w:r>
      <w:r w:rsidRPr="00391BFD">
        <w:rPr>
          <w:noProof/>
        </w:rPr>
        <w:t xml:space="preserve">, </w:t>
      </w:r>
      <w:r w:rsidRPr="00391BFD">
        <w:rPr>
          <w:i/>
          <w:iCs/>
          <w:noProof/>
        </w:rPr>
        <w:t>40</w:t>
      </w:r>
      <w:r w:rsidRPr="00391BFD">
        <w:rPr>
          <w:noProof/>
        </w:rPr>
        <w:t>(1), 503–537. https://doi.org/10.1146/annurev.pp.40.060189.002443</w:t>
      </w:r>
    </w:p>
    <w:p w14:paraId="4B2029C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Farquhar, G. D., &amp; Sharkey, T. D. (1982). Stomatal conductance and photosynthesis. </w:t>
      </w:r>
      <w:r w:rsidRPr="00391BFD">
        <w:rPr>
          <w:i/>
          <w:iCs/>
          <w:noProof/>
        </w:rPr>
        <w:t>Annual Review of Plant Physiology</w:t>
      </w:r>
      <w:r w:rsidRPr="00391BFD">
        <w:rPr>
          <w:noProof/>
        </w:rPr>
        <w:t xml:space="preserve">, </w:t>
      </w:r>
      <w:r w:rsidRPr="00391BFD">
        <w:rPr>
          <w:i/>
          <w:iCs/>
          <w:noProof/>
        </w:rPr>
        <w:t>33</w:t>
      </w:r>
      <w:r w:rsidRPr="00391BFD">
        <w:rPr>
          <w:noProof/>
        </w:rPr>
        <w:t>(1), 317–345. https://doi.org/10.1146/annurev.pp.33.060182.001533</w:t>
      </w:r>
    </w:p>
    <w:p w14:paraId="2BEF4DB3"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Farquhar, G. D., von Caemmerer, S., &amp; Berry, J. A. (1980). A biochemical model of photosynthetic CO</w:t>
      </w:r>
      <w:r w:rsidRPr="00391BFD">
        <w:rPr>
          <w:i/>
          <w:iCs/>
          <w:noProof/>
        </w:rPr>
        <w:t>2</w:t>
      </w:r>
      <w:r w:rsidRPr="00391BFD">
        <w:rPr>
          <w:noProof/>
        </w:rPr>
        <w:t xml:space="preserve"> assimilation in leaves of C3 species. </w:t>
      </w:r>
      <w:r w:rsidRPr="00391BFD">
        <w:rPr>
          <w:i/>
          <w:iCs/>
          <w:noProof/>
        </w:rPr>
        <w:t>Planta</w:t>
      </w:r>
      <w:r w:rsidRPr="00391BFD">
        <w:rPr>
          <w:noProof/>
        </w:rPr>
        <w:t xml:space="preserve">, </w:t>
      </w:r>
      <w:r w:rsidRPr="00391BFD">
        <w:rPr>
          <w:i/>
          <w:iCs/>
          <w:noProof/>
        </w:rPr>
        <w:t>149</w:t>
      </w:r>
      <w:r w:rsidRPr="00391BFD">
        <w:rPr>
          <w:noProof/>
        </w:rPr>
        <w:t>(1), 78–90. https://doi.org/10.1007/BF00386231</w:t>
      </w:r>
    </w:p>
    <w:p w14:paraId="16848B6B"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391BFD">
        <w:rPr>
          <w:i/>
          <w:iCs/>
          <w:noProof/>
        </w:rPr>
        <w:t>Nature Plants</w:t>
      </w:r>
      <w:r w:rsidRPr="00391BFD">
        <w:rPr>
          <w:noProof/>
        </w:rPr>
        <w:t xml:space="preserve">, </w:t>
      </w:r>
      <w:r w:rsidRPr="00391BFD">
        <w:rPr>
          <w:i/>
          <w:iCs/>
          <w:noProof/>
        </w:rPr>
        <w:t>1</w:t>
      </w:r>
      <w:r w:rsidRPr="00391BFD">
        <w:rPr>
          <w:noProof/>
        </w:rPr>
        <w:t>(7), 15080. https://doi.org/10.1038/nplants.2015.80</w:t>
      </w:r>
    </w:p>
    <w:p w14:paraId="75E554F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Finzi, A. C., Moore, D. J. P., DeLucia, E. H., Lichter, J., Hofmockel, K. S., Jackson, R. B., Kim, H. S., Matamala, R., McCarthy, H. R., Oren, R., Pippen, J. S., &amp; Schlesinger, W. H. (2006). Progressive nitrogen limitation of ecosystem processes under elevated CO2 in a warm-temperate forest. </w:t>
      </w:r>
      <w:r w:rsidRPr="00391BFD">
        <w:rPr>
          <w:i/>
          <w:iCs/>
          <w:noProof/>
        </w:rPr>
        <w:t>Ecology</w:t>
      </w:r>
      <w:r w:rsidRPr="00391BFD">
        <w:rPr>
          <w:noProof/>
        </w:rPr>
        <w:t xml:space="preserve">, </w:t>
      </w:r>
      <w:r w:rsidRPr="00391BFD">
        <w:rPr>
          <w:i/>
          <w:iCs/>
          <w:noProof/>
        </w:rPr>
        <w:t>87</w:t>
      </w:r>
      <w:r w:rsidRPr="00391BFD">
        <w:rPr>
          <w:noProof/>
        </w:rPr>
        <w:t>(1), 15–25. https://doi.org/10.1890/04-1748</w:t>
      </w:r>
    </w:p>
    <w:p w14:paraId="79F9AAC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391BFD">
        <w:rPr>
          <w:i/>
          <w:iCs/>
          <w:noProof/>
        </w:rPr>
        <w:t>Nature Ecology &amp; Evolution</w:t>
      </w:r>
      <w:r w:rsidRPr="00391BFD">
        <w:rPr>
          <w:noProof/>
        </w:rPr>
        <w:t xml:space="preserve">, </w:t>
      </w:r>
      <w:r w:rsidRPr="00391BFD">
        <w:rPr>
          <w:i/>
          <w:iCs/>
          <w:noProof/>
        </w:rPr>
        <w:t>3</w:t>
      </w:r>
      <w:r w:rsidRPr="00391BFD">
        <w:rPr>
          <w:noProof/>
        </w:rPr>
        <w:t>(3), 400–406. https://doi.org/10.1038/s41559-018-0790-1</w:t>
      </w:r>
    </w:p>
    <w:p w14:paraId="7A19515B"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lastRenderedPageBreak/>
        <w:t xml:space="preserve">Fox, J., &amp; Weisberg, S. (2019). </w:t>
      </w:r>
      <w:r w:rsidRPr="00391BFD">
        <w:rPr>
          <w:i/>
          <w:iCs/>
          <w:noProof/>
        </w:rPr>
        <w:t>An R companion to applied regression</w:t>
      </w:r>
      <w:r w:rsidRPr="00391BFD">
        <w:rPr>
          <w:noProof/>
        </w:rPr>
        <w:t xml:space="preserve"> (Third edit). Sage. https://socialsciences.mcmaster.ca/jfox/Books/Companion/</w:t>
      </w:r>
    </w:p>
    <w:p w14:paraId="385311C3"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Friedlingstein, P., Meinshausen, M., Arora, V. K., Jones, C. D., Anav, A., Liddicoat, S. K., &amp; Knutti, R. (2014). Uncertainties in CMIP5 climate projections due to carbon cycle feedbacks. </w:t>
      </w:r>
      <w:r w:rsidRPr="00391BFD">
        <w:rPr>
          <w:i/>
          <w:iCs/>
          <w:noProof/>
        </w:rPr>
        <w:t>Journal of Climate</w:t>
      </w:r>
      <w:r w:rsidRPr="00391BFD">
        <w:rPr>
          <w:noProof/>
        </w:rPr>
        <w:t xml:space="preserve">, </w:t>
      </w:r>
      <w:r w:rsidRPr="00391BFD">
        <w:rPr>
          <w:i/>
          <w:iCs/>
          <w:noProof/>
        </w:rPr>
        <w:t>27</w:t>
      </w:r>
      <w:r w:rsidRPr="00391BFD">
        <w:rPr>
          <w:noProof/>
        </w:rPr>
        <w:t>(2), 511–526. https://doi.org/10.1175/JCLI-D-12-00579.1</w:t>
      </w:r>
    </w:p>
    <w:p w14:paraId="65DD2980"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Hoagland, D. R., &amp; Arnon, D. I. (1950). The water-culture method for growing plants without soil. </w:t>
      </w:r>
      <w:r w:rsidRPr="00391BFD">
        <w:rPr>
          <w:i/>
          <w:iCs/>
          <w:noProof/>
        </w:rPr>
        <w:t>California Agricultural Experiment Station: 347</w:t>
      </w:r>
      <w:r w:rsidRPr="00391BFD">
        <w:rPr>
          <w:noProof/>
        </w:rPr>
        <w:t xml:space="preserve">, </w:t>
      </w:r>
      <w:r w:rsidRPr="00391BFD">
        <w:rPr>
          <w:i/>
          <w:iCs/>
          <w:noProof/>
        </w:rPr>
        <w:t>347</w:t>
      </w:r>
      <w:r w:rsidRPr="00391BFD">
        <w:rPr>
          <w:noProof/>
        </w:rPr>
        <w:t>(2), 1–32.</w:t>
      </w:r>
    </w:p>
    <w:p w14:paraId="708DEE2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Hungate, B. A., Dukes, J. S., Shaw, M. R., Luo, Y., &amp; Field, C. B. (2003). Nitrogen and climate change. </w:t>
      </w:r>
      <w:r w:rsidRPr="00391BFD">
        <w:rPr>
          <w:i/>
          <w:iCs/>
          <w:noProof/>
        </w:rPr>
        <w:t>Science</w:t>
      </w:r>
      <w:r w:rsidRPr="00391BFD">
        <w:rPr>
          <w:noProof/>
        </w:rPr>
        <w:t xml:space="preserve">, </w:t>
      </w:r>
      <w:r w:rsidRPr="00391BFD">
        <w:rPr>
          <w:i/>
          <w:iCs/>
          <w:noProof/>
        </w:rPr>
        <w:t>302</w:t>
      </w:r>
      <w:r w:rsidRPr="00391BFD">
        <w:rPr>
          <w:noProof/>
        </w:rPr>
        <w:t>(5650), 1512–1513. https://doi.org/10.1126/science.1091390</w:t>
      </w:r>
    </w:p>
    <w:p w14:paraId="0FF692DC"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Katabuchi, M. (2015). LeafArea: An R package for rapid digital analysis of leaf area. </w:t>
      </w:r>
      <w:r w:rsidRPr="00391BFD">
        <w:rPr>
          <w:i/>
          <w:iCs/>
          <w:noProof/>
        </w:rPr>
        <w:t>Ecological Research</w:t>
      </w:r>
      <w:r w:rsidRPr="00391BFD">
        <w:rPr>
          <w:noProof/>
        </w:rPr>
        <w:t xml:space="preserve">, </w:t>
      </w:r>
      <w:r w:rsidRPr="00391BFD">
        <w:rPr>
          <w:i/>
          <w:iCs/>
          <w:noProof/>
        </w:rPr>
        <w:t>30</w:t>
      </w:r>
      <w:r w:rsidRPr="00391BFD">
        <w:rPr>
          <w:noProof/>
        </w:rPr>
        <w:t>(6), 1073–1077.</w:t>
      </w:r>
    </w:p>
    <w:p w14:paraId="016CAE0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Kenward, M. G., &amp; Roger, J. H. (1997). Small sample inference for fixed effects from restricted maximum likelihood. </w:t>
      </w:r>
      <w:r w:rsidRPr="00391BFD">
        <w:rPr>
          <w:i/>
          <w:iCs/>
          <w:noProof/>
        </w:rPr>
        <w:t>Biometrics</w:t>
      </w:r>
      <w:r w:rsidRPr="00391BFD">
        <w:rPr>
          <w:noProof/>
        </w:rPr>
        <w:t xml:space="preserve">, </w:t>
      </w:r>
      <w:r w:rsidRPr="00391BFD">
        <w:rPr>
          <w:i/>
          <w:iCs/>
          <w:noProof/>
        </w:rPr>
        <w:t>53</w:t>
      </w:r>
      <w:r w:rsidRPr="00391BFD">
        <w:rPr>
          <w:noProof/>
        </w:rPr>
        <w:t>(3), 983. https://doi.org/10.2307/2533558</w:t>
      </w:r>
    </w:p>
    <w:p w14:paraId="415E2867"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LeBauer, D. S., &amp; Treseder, K. (2008). Nitrogen limitation of net primary productivity. </w:t>
      </w:r>
      <w:r w:rsidRPr="00391BFD">
        <w:rPr>
          <w:i/>
          <w:iCs/>
          <w:noProof/>
        </w:rPr>
        <w:t>Ecology</w:t>
      </w:r>
      <w:r w:rsidRPr="00391BFD">
        <w:rPr>
          <w:noProof/>
        </w:rPr>
        <w:t xml:space="preserve">, </w:t>
      </w:r>
      <w:r w:rsidRPr="00391BFD">
        <w:rPr>
          <w:i/>
          <w:iCs/>
          <w:noProof/>
        </w:rPr>
        <w:t>89</w:t>
      </w:r>
      <w:r w:rsidRPr="00391BFD">
        <w:rPr>
          <w:noProof/>
        </w:rPr>
        <w:t>(2), 371–379. https://doi.org/10.1890/06-2057.1</w:t>
      </w:r>
    </w:p>
    <w:p w14:paraId="5440BEA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Lenth, R. (2019). </w:t>
      </w:r>
      <w:r w:rsidRPr="00391BFD">
        <w:rPr>
          <w:i/>
          <w:iCs/>
          <w:noProof/>
        </w:rPr>
        <w:t>emmeans: estimated marginal means, aka least-squares means</w:t>
      </w:r>
      <w:r w:rsidRPr="00391BFD">
        <w:rPr>
          <w:noProof/>
        </w:rPr>
        <w:t>.</w:t>
      </w:r>
    </w:p>
    <w:p w14:paraId="52DFCE2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Liang, J., Qi, X., Souza, L., &amp; Luo, Y. (2016). Processes regulating progressive nitrogen limitation under elevated carbon dioxide: a meta-analysis. </w:t>
      </w:r>
      <w:r w:rsidRPr="00391BFD">
        <w:rPr>
          <w:i/>
          <w:iCs/>
          <w:noProof/>
        </w:rPr>
        <w:t>Biogeosciences</w:t>
      </w:r>
      <w:r w:rsidRPr="00391BFD">
        <w:rPr>
          <w:noProof/>
        </w:rPr>
        <w:t xml:space="preserve">, </w:t>
      </w:r>
      <w:r w:rsidRPr="00391BFD">
        <w:rPr>
          <w:i/>
          <w:iCs/>
          <w:noProof/>
        </w:rPr>
        <w:t>13</w:t>
      </w:r>
      <w:r w:rsidRPr="00391BFD">
        <w:rPr>
          <w:noProof/>
        </w:rPr>
        <w:t>(9), 2689–2699. https://doi.org/10.5194/bg-13-2689-2016</w:t>
      </w:r>
    </w:p>
    <w:p w14:paraId="6EF5CB0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Liang, X., Zhang, T., Lu, X., Ellsworth, D. S., BassiriRad, H., You, C., Wang, D., He, P., Deng, Q., Liu, H., Mo, J., &amp; Ye, Q. (2020). Global response patterns of plant photosynthesis to nitrogen addition: A meta‐analysis. </w:t>
      </w:r>
      <w:r w:rsidRPr="00391BFD">
        <w:rPr>
          <w:i/>
          <w:iCs/>
          <w:noProof/>
        </w:rPr>
        <w:t>Global Change Biology</w:t>
      </w:r>
      <w:r w:rsidRPr="00391BFD">
        <w:rPr>
          <w:noProof/>
        </w:rPr>
        <w:t xml:space="preserve">, </w:t>
      </w:r>
      <w:r w:rsidRPr="00391BFD">
        <w:rPr>
          <w:i/>
          <w:iCs/>
          <w:noProof/>
        </w:rPr>
        <w:t>26</w:t>
      </w:r>
      <w:r w:rsidRPr="00391BFD">
        <w:rPr>
          <w:noProof/>
        </w:rPr>
        <w:t>(6), 3585–3600. https://doi.org/10.1111/gcb.15071</w:t>
      </w:r>
    </w:p>
    <w:p w14:paraId="667A78D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lastRenderedPageBreak/>
        <w:t xml:space="preserve">Lu, J., Yang, J., Keitel, C., Yin, L., Wang, P., Cheng, W., &amp; Dijkstra, F. A. (2022). Belowground Carbon Efficiency for Nitrogen and Phosphorus Acquisition Varies Between Lolium perenne and Trifolium repens and Depends on Phosphorus Fertilization. </w:t>
      </w:r>
      <w:r w:rsidRPr="00391BFD">
        <w:rPr>
          <w:i/>
          <w:iCs/>
          <w:noProof/>
        </w:rPr>
        <w:t>Frontiers in Plant Science</w:t>
      </w:r>
      <w:r w:rsidRPr="00391BFD">
        <w:rPr>
          <w:noProof/>
        </w:rPr>
        <w:t xml:space="preserve">, </w:t>
      </w:r>
      <w:r w:rsidRPr="00391BFD">
        <w:rPr>
          <w:i/>
          <w:iCs/>
          <w:noProof/>
        </w:rPr>
        <w:t>13</w:t>
      </w:r>
      <w:r w:rsidRPr="00391BFD">
        <w:rPr>
          <w:noProof/>
        </w:rPr>
        <w:t>(June), 1–9. https://doi.org/10.3389/fpls.2022.927435</w:t>
      </w:r>
    </w:p>
    <w:p w14:paraId="037BFF2C"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391BFD">
        <w:rPr>
          <w:i/>
          <w:iCs/>
          <w:noProof/>
        </w:rPr>
        <w:t>BioScience</w:t>
      </w:r>
      <w:r w:rsidRPr="00391BFD">
        <w:rPr>
          <w:noProof/>
        </w:rPr>
        <w:t xml:space="preserve">, </w:t>
      </w:r>
      <w:r w:rsidRPr="00391BFD">
        <w:rPr>
          <w:i/>
          <w:iCs/>
          <w:noProof/>
        </w:rPr>
        <w:t>54</w:t>
      </w:r>
      <w:r w:rsidRPr="00391BFD">
        <w:rPr>
          <w:noProof/>
        </w:rPr>
        <w:t>(8), 731–739. https://doi.org/10.1641/0006-3568(2004)054[0731:PNLOER]2.0.CO;2</w:t>
      </w:r>
    </w:p>
    <w:p w14:paraId="46F8EDA3"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Maire, V., Martre, P., Kattge, J., Gastal, F., Esser, G., Fontaine, S., &amp; Soussana, J.-F. (2012). The coordination of leaf photosynthesis links C and N fluxes in C</w:t>
      </w:r>
      <w:r w:rsidRPr="00391BFD">
        <w:rPr>
          <w:noProof/>
          <w:vertAlign w:val="subscript"/>
        </w:rPr>
        <w:t>3</w:t>
      </w:r>
      <w:r w:rsidRPr="00391BFD">
        <w:rPr>
          <w:noProof/>
        </w:rPr>
        <w:t xml:space="preserve"> plant species. </w:t>
      </w:r>
      <w:r w:rsidRPr="00391BFD">
        <w:rPr>
          <w:i/>
          <w:iCs/>
          <w:noProof/>
        </w:rPr>
        <w:t>PLoS ONE</w:t>
      </w:r>
      <w:r w:rsidRPr="00391BFD">
        <w:rPr>
          <w:noProof/>
        </w:rPr>
        <w:t xml:space="preserve">, </w:t>
      </w:r>
      <w:r w:rsidRPr="00391BFD">
        <w:rPr>
          <w:i/>
          <w:iCs/>
          <w:noProof/>
        </w:rPr>
        <w:t>7</w:t>
      </w:r>
      <w:r w:rsidRPr="00391BFD">
        <w:rPr>
          <w:noProof/>
        </w:rPr>
        <w:t>(6), e38345. https://doi.org/10.1371/journal.pone.0038345</w:t>
      </w:r>
    </w:p>
    <w:p w14:paraId="56C157F6"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Makino, A. (2003). Rubisco and nitrogen relationships in rice: leaf photosynthesis and plant growth. </w:t>
      </w:r>
      <w:r w:rsidRPr="00391BFD">
        <w:rPr>
          <w:i/>
          <w:iCs/>
          <w:noProof/>
        </w:rPr>
        <w:t>Soil Science and Plant Nutrition</w:t>
      </w:r>
      <w:r w:rsidRPr="00391BFD">
        <w:rPr>
          <w:noProof/>
        </w:rPr>
        <w:t xml:space="preserve">, </w:t>
      </w:r>
      <w:r w:rsidRPr="00391BFD">
        <w:rPr>
          <w:i/>
          <w:iCs/>
          <w:noProof/>
        </w:rPr>
        <w:t>49</w:t>
      </w:r>
      <w:r w:rsidRPr="00391BFD">
        <w:rPr>
          <w:noProof/>
        </w:rPr>
        <w:t>(3), 319–327.</w:t>
      </w:r>
    </w:p>
    <w:p w14:paraId="525858B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Makino, A., Harada, M., Sato, T., Nakano, H., &amp; Mae, T. (1997). Growth and N Allocation in Rice Plants under CO2 Enrichment. </w:t>
      </w:r>
      <w:r w:rsidRPr="00391BFD">
        <w:rPr>
          <w:i/>
          <w:iCs/>
          <w:noProof/>
        </w:rPr>
        <w:t>Plant Physiology</w:t>
      </w:r>
      <w:r w:rsidRPr="00391BFD">
        <w:rPr>
          <w:noProof/>
        </w:rPr>
        <w:t xml:space="preserve">, </w:t>
      </w:r>
      <w:r w:rsidRPr="00391BFD">
        <w:rPr>
          <w:i/>
          <w:iCs/>
          <w:noProof/>
        </w:rPr>
        <w:t>115</w:t>
      </w:r>
      <w:r w:rsidRPr="00391BFD">
        <w:rPr>
          <w:noProof/>
        </w:rPr>
        <w:t>(1), 199–203. https://doi.org/10.1104/pp.115.1.199</w:t>
      </w:r>
    </w:p>
    <w:p w14:paraId="2250A1A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Marschner, H., &amp; Dell, B. (1994). Nutrient uptake in mycorrhizal symbiosis. </w:t>
      </w:r>
      <w:r w:rsidRPr="00391BFD">
        <w:rPr>
          <w:i/>
          <w:iCs/>
          <w:noProof/>
        </w:rPr>
        <w:t>Plant and Soil</w:t>
      </w:r>
      <w:r w:rsidRPr="00391BFD">
        <w:rPr>
          <w:noProof/>
        </w:rPr>
        <w:t xml:space="preserve">, </w:t>
      </w:r>
      <w:r w:rsidRPr="00391BFD">
        <w:rPr>
          <w:i/>
          <w:iCs/>
          <w:noProof/>
        </w:rPr>
        <w:t>159</w:t>
      </w:r>
      <w:r w:rsidRPr="00391BFD">
        <w:rPr>
          <w:noProof/>
        </w:rPr>
        <w:t>(1), 89–102. https://doi.org/10.1007/BF00000098</w:t>
      </w:r>
    </w:p>
    <w:p w14:paraId="0A5735FA"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Meyerholt, J., Sickel, K., &amp; Zaehle, S. (2020). Ensemble projections elucidate effects of uncertainty in terrestrial nitrogen limitation on future carbon uptake. </w:t>
      </w:r>
      <w:r w:rsidRPr="00391BFD">
        <w:rPr>
          <w:i/>
          <w:iCs/>
          <w:noProof/>
        </w:rPr>
        <w:t>Global Change Biology</w:t>
      </w:r>
      <w:r w:rsidRPr="00391BFD">
        <w:rPr>
          <w:noProof/>
        </w:rPr>
        <w:t xml:space="preserve">, </w:t>
      </w:r>
      <w:r w:rsidRPr="00391BFD">
        <w:rPr>
          <w:i/>
          <w:iCs/>
          <w:noProof/>
        </w:rPr>
        <w:t>26</w:t>
      </w:r>
      <w:r w:rsidRPr="00391BFD">
        <w:rPr>
          <w:noProof/>
        </w:rPr>
        <w:t>(7), 3978–3996. https://doi.org/10.1111/gcb.15114</w:t>
      </w:r>
    </w:p>
    <w:p w14:paraId="4EBE8047"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Moore, D. J. P., Aref, S., Ho, R. M., Pippen, J. S., Hamilton, J. G., &amp; De Lucia, E. H. (2006). </w:t>
      </w:r>
      <w:r w:rsidRPr="00391BFD">
        <w:rPr>
          <w:noProof/>
        </w:rPr>
        <w:lastRenderedPageBreak/>
        <w:t xml:space="preserve">Annual basal area increment and growth duration of Pinus taeda in response to eight years of free-air carbon dioxide enrichment. </w:t>
      </w:r>
      <w:r w:rsidRPr="00391BFD">
        <w:rPr>
          <w:i/>
          <w:iCs/>
          <w:noProof/>
        </w:rPr>
        <w:t>Global Change Biology</w:t>
      </w:r>
      <w:r w:rsidRPr="00391BFD">
        <w:rPr>
          <w:noProof/>
        </w:rPr>
        <w:t xml:space="preserve">, </w:t>
      </w:r>
      <w:r w:rsidRPr="00391BFD">
        <w:rPr>
          <w:i/>
          <w:iCs/>
          <w:noProof/>
        </w:rPr>
        <w:t>12</w:t>
      </w:r>
      <w:r w:rsidRPr="00391BFD">
        <w:rPr>
          <w:noProof/>
        </w:rPr>
        <w:t>(8), 1367–1377. https://doi.org/10.1111/j.1365-2486.2006.01189.x</w:t>
      </w:r>
    </w:p>
    <w:p w14:paraId="7D4BF011"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391BFD">
        <w:rPr>
          <w:noProof/>
          <w:vertAlign w:val="subscript"/>
        </w:rPr>
        <w:t>2</w:t>
      </w:r>
      <w:r w:rsidRPr="00391BFD">
        <w:rPr>
          <w:noProof/>
        </w:rPr>
        <w:t xml:space="preserve">. </w:t>
      </w:r>
      <w:r w:rsidRPr="00391BFD">
        <w:rPr>
          <w:i/>
          <w:iCs/>
          <w:noProof/>
        </w:rPr>
        <w:t>Oecologia</w:t>
      </w:r>
      <w:r w:rsidRPr="00391BFD">
        <w:rPr>
          <w:noProof/>
        </w:rPr>
        <w:t xml:space="preserve">, </w:t>
      </w:r>
      <w:r w:rsidRPr="00391BFD">
        <w:rPr>
          <w:i/>
          <w:iCs/>
          <w:noProof/>
        </w:rPr>
        <w:t>140</w:t>
      </w:r>
      <w:r w:rsidRPr="00391BFD">
        <w:rPr>
          <w:noProof/>
        </w:rPr>
        <w:t>(1), 11–25. https://doi.org/10.1007/s00442-004-1550-2</w:t>
      </w:r>
    </w:p>
    <w:p w14:paraId="6545B8EE"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Niinemets, Ü., &amp; Tenhunen, J. D. (1997). A model separating leaf structural and physiological effects on carbon gain along light gradients for the shade-tolerant species </w:t>
      </w:r>
      <w:r w:rsidRPr="00391BFD">
        <w:rPr>
          <w:i/>
          <w:iCs/>
          <w:noProof/>
        </w:rPr>
        <w:t>Acer saccharum</w:t>
      </w:r>
      <w:r w:rsidRPr="00391BFD">
        <w:rPr>
          <w:noProof/>
        </w:rPr>
        <w:t xml:space="preserve">. </w:t>
      </w:r>
      <w:r w:rsidRPr="00391BFD">
        <w:rPr>
          <w:i/>
          <w:iCs/>
          <w:noProof/>
        </w:rPr>
        <w:t>Plant, Cell and Environment</w:t>
      </w:r>
      <w:r w:rsidRPr="00391BFD">
        <w:rPr>
          <w:noProof/>
        </w:rPr>
        <w:t xml:space="preserve">, </w:t>
      </w:r>
      <w:r w:rsidRPr="00391BFD">
        <w:rPr>
          <w:i/>
          <w:iCs/>
          <w:noProof/>
        </w:rPr>
        <w:t>20</w:t>
      </w:r>
      <w:r w:rsidRPr="00391BFD">
        <w:rPr>
          <w:noProof/>
        </w:rPr>
        <w:t>(7), 845–866. https://doi.org/10.1046/j.1365-3040.1997.d01-133.x</w:t>
      </w:r>
    </w:p>
    <w:p w14:paraId="3ED46CE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Norby, R. J., Warren, J. M., Iversen, C. M., Medlyn, B. E., &amp; McMurtrie, R. E. (2010). CO2 enhancement of forest productivity constrained by limited nitrogen availability. </w:t>
      </w:r>
      <w:r w:rsidRPr="00391BFD">
        <w:rPr>
          <w:i/>
          <w:iCs/>
          <w:noProof/>
        </w:rPr>
        <w:t>Proceedings of the National Academy of Sciences</w:t>
      </w:r>
      <w:r w:rsidRPr="00391BFD">
        <w:rPr>
          <w:noProof/>
        </w:rPr>
        <w:t xml:space="preserve">, </w:t>
      </w:r>
      <w:r w:rsidRPr="00391BFD">
        <w:rPr>
          <w:i/>
          <w:iCs/>
          <w:noProof/>
        </w:rPr>
        <w:t>107</w:t>
      </w:r>
      <w:r w:rsidRPr="00391BFD">
        <w:rPr>
          <w:noProof/>
        </w:rPr>
        <w:t>(45), 19368–19373.</w:t>
      </w:r>
    </w:p>
    <w:p w14:paraId="7663EAEE"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Onoda, Y., Wright, I. J., Evans, J. R., Hikosaka, K., Kitajima, K., Niinemets, Ü., Poorter, H., Tosens, T., &amp; Westoby, M. (2017). Physiological and structural tradeoffs underlying the leaf economics spectrum. </w:t>
      </w:r>
      <w:r w:rsidRPr="00391BFD">
        <w:rPr>
          <w:i/>
          <w:iCs/>
          <w:noProof/>
        </w:rPr>
        <w:t>New Phytologist</w:t>
      </w:r>
      <w:r w:rsidRPr="00391BFD">
        <w:rPr>
          <w:noProof/>
        </w:rPr>
        <w:t xml:space="preserve">, </w:t>
      </w:r>
      <w:r w:rsidRPr="00391BFD">
        <w:rPr>
          <w:i/>
          <w:iCs/>
          <w:noProof/>
        </w:rPr>
        <w:t>214</w:t>
      </w:r>
      <w:r w:rsidRPr="00391BFD">
        <w:rPr>
          <w:noProof/>
        </w:rPr>
        <w:t>(4), 1447–1463. https://doi.org/10.1111/nph.14496</w:t>
      </w:r>
    </w:p>
    <w:p w14:paraId="7238B20E"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Oreskes, N., Shrader-Frechette, K., &amp; Belitz, K. (1994). Verification , Validation , and Confirmation of Numerical Models in the Earth Sciences. </w:t>
      </w:r>
      <w:r w:rsidRPr="00391BFD">
        <w:rPr>
          <w:i/>
          <w:iCs/>
          <w:noProof/>
        </w:rPr>
        <w:t>Science</w:t>
      </w:r>
      <w:r w:rsidRPr="00391BFD">
        <w:rPr>
          <w:noProof/>
        </w:rPr>
        <w:t xml:space="preserve">, </w:t>
      </w:r>
      <w:r w:rsidRPr="00391BFD">
        <w:rPr>
          <w:i/>
          <w:iCs/>
          <w:noProof/>
        </w:rPr>
        <w:t>263</w:t>
      </w:r>
      <w:r w:rsidRPr="00391BFD">
        <w:rPr>
          <w:noProof/>
        </w:rPr>
        <w:t>(5147), 641–646. https://www.jstor.org/stable/2883078</w:t>
      </w:r>
    </w:p>
    <w:p w14:paraId="0413BE32"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Paillassa, J., Wright, I. J., Prentice, I. C., Pepin, S., Smith, N. G., Ethier, G., Westerband, A. C., </w:t>
      </w:r>
      <w:r w:rsidRPr="00391BFD">
        <w:rPr>
          <w:noProof/>
        </w:rPr>
        <w:lastRenderedPageBreak/>
        <w:t xml:space="preserve">Lamarque, L. J., Wang, H., Cornwell, W. K., &amp; Maire, V. (2020). When and where soil is important to modify the carbon and water economy of leaves. </w:t>
      </w:r>
      <w:r w:rsidRPr="00391BFD">
        <w:rPr>
          <w:i/>
          <w:iCs/>
          <w:noProof/>
        </w:rPr>
        <w:t>New Phytologist</w:t>
      </w:r>
      <w:r w:rsidRPr="00391BFD">
        <w:rPr>
          <w:noProof/>
        </w:rPr>
        <w:t xml:space="preserve">, </w:t>
      </w:r>
      <w:r w:rsidRPr="00391BFD">
        <w:rPr>
          <w:i/>
          <w:iCs/>
          <w:noProof/>
        </w:rPr>
        <w:t>228</w:t>
      </w:r>
      <w:r w:rsidRPr="00391BFD">
        <w:rPr>
          <w:noProof/>
        </w:rPr>
        <w:t>(1), 121–135. https://doi.org/10.1111/nph.16702</w:t>
      </w:r>
    </w:p>
    <w:p w14:paraId="0474486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Peng, Y., Bloomfield, K. J., Cernusak, L. A., Domingues, T. F., &amp; Prentice, I. C. (2021). Global climate and nutrient controls of photosynthetic capacity. </w:t>
      </w:r>
      <w:r w:rsidRPr="00391BFD">
        <w:rPr>
          <w:i/>
          <w:iCs/>
          <w:noProof/>
        </w:rPr>
        <w:t>Communications Biology</w:t>
      </w:r>
      <w:r w:rsidRPr="00391BFD">
        <w:rPr>
          <w:noProof/>
        </w:rPr>
        <w:t xml:space="preserve">, </w:t>
      </w:r>
      <w:r w:rsidRPr="00391BFD">
        <w:rPr>
          <w:i/>
          <w:iCs/>
          <w:noProof/>
        </w:rPr>
        <w:t>4</w:t>
      </w:r>
      <w:r w:rsidRPr="00391BFD">
        <w:rPr>
          <w:noProof/>
        </w:rPr>
        <w:t>(1), 462. https://doi.org/10.1038/s42003-021-01985-7</w:t>
      </w:r>
    </w:p>
    <w:p w14:paraId="7C0B4347"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Perkowski, E. A., Waring, E. F., &amp; Smith, N. G. (2021). Root mass carbon costs to acquire nitrogen are determined by nitrogen and light availability in two species with different nitrogen acquisition strategies. </w:t>
      </w:r>
      <w:r w:rsidRPr="00391BFD">
        <w:rPr>
          <w:i/>
          <w:iCs/>
          <w:noProof/>
        </w:rPr>
        <w:t>Journal of Experimental Botany</w:t>
      </w:r>
      <w:r w:rsidRPr="00391BFD">
        <w:rPr>
          <w:noProof/>
        </w:rPr>
        <w:t xml:space="preserve">, </w:t>
      </w:r>
      <w:r w:rsidRPr="00391BFD">
        <w:rPr>
          <w:i/>
          <w:iCs/>
          <w:noProof/>
        </w:rPr>
        <w:t>72</w:t>
      </w:r>
      <w:r w:rsidRPr="00391BFD">
        <w:rPr>
          <w:noProof/>
        </w:rPr>
        <w:t>(15), 5766–5776. https://doi.org/10.1093/jxb/erab253</w:t>
      </w:r>
    </w:p>
    <w:p w14:paraId="5720F826"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Phillips, R. P., Finzi, A. C., &amp; Bernhardt, E. S. (2011). Enhanced root exudation induces microbial feedbacks to N cycling in a pine forest under long-term CO2 fumigation. </w:t>
      </w:r>
      <w:r w:rsidRPr="00391BFD">
        <w:rPr>
          <w:i/>
          <w:iCs/>
          <w:noProof/>
        </w:rPr>
        <w:t>Ecology Letters</w:t>
      </w:r>
      <w:r w:rsidRPr="00391BFD">
        <w:rPr>
          <w:noProof/>
        </w:rPr>
        <w:t xml:space="preserve">, </w:t>
      </w:r>
      <w:r w:rsidRPr="00391BFD">
        <w:rPr>
          <w:i/>
          <w:iCs/>
          <w:noProof/>
        </w:rPr>
        <w:t>14</w:t>
      </w:r>
      <w:r w:rsidRPr="00391BFD">
        <w:rPr>
          <w:noProof/>
        </w:rPr>
        <w:t>(2), 187–194. https://doi.org/10.1111/j.1461-0248.2010.01570.x</w:t>
      </w:r>
    </w:p>
    <w:p w14:paraId="26DC9F4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391BFD">
        <w:rPr>
          <w:i/>
          <w:iCs/>
          <w:noProof/>
        </w:rPr>
        <w:t>New Phytologist</w:t>
      </w:r>
      <w:r w:rsidRPr="00391BFD">
        <w:rPr>
          <w:noProof/>
        </w:rPr>
        <w:t xml:space="preserve">, </w:t>
      </w:r>
      <w:r w:rsidRPr="00391BFD">
        <w:rPr>
          <w:i/>
          <w:iCs/>
          <w:noProof/>
        </w:rPr>
        <w:t>233</w:t>
      </w:r>
      <w:r w:rsidRPr="00391BFD">
        <w:rPr>
          <w:noProof/>
        </w:rPr>
        <w:t>(4), 1560–1596. https://doi.org/10.1111/nph.17802</w:t>
      </w:r>
    </w:p>
    <w:p w14:paraId="78D80A1C"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Prentice, I. C., Dong, N., Gleason, S. M., Maire, V., &amp; Wright, I. J. (2014). Balancing the costs of carbon gain and water transport: testing a new theoretical framework for plant functional ecology. </w:t>
      </w:r>
      <w:r w:rsidRPr="00391BFD">
        <w:rPr>
          <w:i/>
          <w:iCs/>
          <w:noProof/>
        </w:rPr>
        <w:t>Ecology Letters</w:t>
      </w:r>
      <w:r w:rsidRPr="00391BFD">
        <w:rPr>
          <w:noProof/>
        </w:rPr>
        <w:t xml:space="preserve">, </w:t>
      </w:r>
      <w:r w:rsidRPr="00391BFD">
        <w:rPr>
          <w:i/>
          <w:iCs/>
          <w:noProof/>
        </w:rPr>
        <w:t>17</w:t>
      </w:r>
      <w:r w:rsidRPr="00391BFD">
        <w:rPr>
          <w:noProof/>
        </w:rPr>
        <w:t>(1), 82–91. https://doi.org/10.1111/ele.12211</w:t>
      </w:r>
    </w:p>
    <w:p w14:paraId="1308DCC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Prentice, I. C., Liang, X., Medlyn, B. E., &amp; Wang, Y.-P. (2015). Reliable, robust and realistic: The three R’s of next-generation land-surface modelling. </w:t>
      </w:r>
      <w:r w:rsidRPr="00391BFD">
        <w:rPr>
          <w:i/>
          <w:iCs/>
          <w:noProof/>
        </w:rPr>
        <w:t>Atmospheric Chemistry and Physics</w:t>
      </w:r>
      <w:r w:rsidRPr="00391BFD">
        <w:rPr>
          <w:noProof/>
        </w:rPr>
        <w:t xml:space="preserve">, </w:t>
      </w:r>
      <w:r w:rsidRPr="00391BFD">
        <w:rPr>
          <w:i/>
          <w:iCs/>
          <w:noProof/>
        </w:rPr>
        <w:t>15</w:t>
      </w:r>
      <w:r w:rsidRPr="00391BFD">
        <w:rPr>
          <w:noProof/>
        </w:rPr>
        <w:t>, 5987–6005. https://doi.org/10.5194/acp-15-5987-2015</w:t>
      </w:r>
    </w:p>
    <w:p w14:paraId="560A2A23"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lastRenderedPageBreak/>
        <w:t xml:space="preserve">Querejeta, J. I., Prieto, I., Armas, C., Casanoves, F., Diémé, J. S., Diouf, M., Yossi, H., Kaya, B., Pugnaire, F. I., &amp; Rusch, G. M. (2022). Higher leaf nitrogen content is linked to tighter stomatal regulation of transpiration and more efficient water use across dryland trees. </w:t>
      </w:r>
      <w:r w:rsidRPr="00391BFD">
        <w:rPr>
          <w:i/>
          <w:iCs/>
          <w:noProof/>
        </w:rPr>
        <w:t>New Phytologist</w:t>
      </w:r>
      <w:r w:rsidRPr="00391BFD">
        <w:rPr>
          <w:noProof/>
        </w:rPr>
        <w:t xml:space="preserve">, </w:t>
      </w:r>
      <w:r w:rsidRPr="00391BFD">
        <w:rPr>
          <w:i/>
          <w:iCs/>
          <w:noProof/>
        </w:rPr>
        <w:t>235</w:t>
      </w:r>
      <w:r w:rsidRPr="00391BFD">
        <w:rPr>
          <w:noProof/>
        </w:rPr>
        <w:t>(4), 1351–1364. https://doi.org/10.1111/nph.18254</w:t>
      </w:r>
    </w:p>
    <w:p w14:paraId="5EFF5FDF"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R Core Team. (2021). </w:t>
      </w:r>
      <w:r w:rsidRPr="00391BFD">
        <w:rPr>
          <w:i/>
          <w:iCs/>
          <w:noProof/>
        </w:rPr>
        <w:t>R: A language and environment for statistical computing</w:t>
      </w:r>
      <w:r w:rsidRPr="00391BFD">
        <w:rPr>
          <w:noProof/>
        </w:rPr>
        <w:t xml:space="preserve"> (4.1.1). R Foundation for Statistical Computing. https://www.r-project.org/</w:t>
      </w:r>
    </w:p>
    <w:p w14:paraId="060DE214"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Reich, P. B., Hobbie, S. E., Lee, T., Ellsworth, D. S., West, J. B., Tilman, D., Knops, J. M. H., Naeem, S., &amp; Trost, J. (2006). Nitrogen limitation constrains sustainability of ecosystem response to CO</w:t>
      </w:r>
      <w:r w:rsidRPr="00391BFD">
        <w:rPr>
          <w:noProof/>
          <w:vertAlign w:val="subscript"/>
        </w:rPr>
        <w:t>2</w:t>
      </w:r>
      <w:r w:rsidRPr="00391BFD">
        <w:rPr>
          <w:noProof/>
        </w:rPr>
        <w:t xml:space="preserve">. </w:t>
      </w:r>
      <w:r w:rsidRPr="00391BFD">
        <w:rPr>
          <w:i/>
          <w:iCs/>
          <w:noProof/>
        </w:rPr>
        <w:t>Nature</w:t>
      </w:r>
      <w:r w:rsidRPr="00391BFD">
        <w:rPr>
          <w:noProof/>
        </w:rPr>
        <w:t xml:space="preserve">, </w:t>
      </w:r>
      <w:r w:rsidRPr="00391BFD">
        <w:rPr>
          <w:i/>
          <w:iCs/>
          <w:noProof/>
        </w:rPr>
        <w:t>440</w:t>
      </w:r>
      <w:r w:rsidRPr="00391BFD">
        <w:rPr>
          <w:noProof/>
        </w:rPr>
        <w:t>(7086), 922–925. https://doi.org/10.1038/nature04486</w:t>
      </w:r>
    </w:p>
    <w:p w14:paraId="5DA6DA9A"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Rogers, A. (2014). The use and misuse of V</w:t>
      </w:r>
      <w:r w:rsidRPr="00391BFD">
        <w:rPr>
          <w:noProof/>
          <w:vertAlign w:val="subscript"/>
        </w:rPr>
        <w:t>c,max</w:t>
      </w:r>
      <w:r w:rsidRPr="00391BFD">
        <w:rPr>
          <w:noProof/>
        </w:rPr>
        <w:t xml:space="preserve"> in Earth System Models. </w:t>
      </w:r>
      <w:r w:rsidRPr="00391BFD">
        <w:rPr>
          <w:i/>
          <w:iCs/>
          <w:noProof/>
        </w:rPr>
        <w:t>Photosynthesis Research</w:t>
      </w:r>
      <w:r w:rsidRPr="00391BFD">
        <w:rPr>
          <w:noProof/>
        </w:rPr>
        <w:t xml:space="preserve">, </w:t>
      </w:r>
      <w:r w:rsidRPr="00391BFD">
        <w:rPr>
          <w:i/>
          <w:iCs/>
          <w:noProof/>
        </w:rPr>
        <w:t>119</w:t>
      </w:r>
      <w:r w:rsidRPr="00391BFD">
        <w:rPr>
          <w:noProof/>
        </w:rPr>
        <w:t>(1–2), 15–29. https://doi.org/10.1007/s11120-013-9818-1</w:t>
      </w:r>
    </w:p>
    <w:p w14:paraId="651D2EC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391BFD">
        <w:rPr>
          <w:i/>
          <w:iCs/>
          <w:noProof/>
        </w:rPr>
        <w:t>New Phytologist</w:t>
      </w:r>
      <w:r w:rsidRPr="00391BFD">
        <w:rPr>
          <w:noProof/>
        </w:rPr>
        <w:t xml:space="preserve">, </w:t>
      </w:r>
      <w:r w:rsidRPr="00391BFD">
        <w:rPr>
          <w:i/>
          <w:iCs/>
          <w:noProof/>
        </w:rPr>
        <w:t>213</w:t>
      </w:r>
      <w:r w:rsidRPr="00391BFD">
        <w:rPr>
          <w:noProof/>
        </w:rPr>
        <w:t>(1), 22–42. https://doi.org/10.1111/nph.14283</w:t>
      </w:r>
    </w:p>
    <w:p w14:paraId="2B9819D4"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Saathoff, A. J., &amp; Welles, J. (2021). Gas exchange measurements in the unsteady state. </w:t>
      </w:r>
      <w:r w:rsidRPr="00391BFD">
        <w:rPr>
          <w:i/>
          <w:iCs/>
          <w:noProof/>
        </w:rPr>
        <w:t>Plant Cell and Environment</w:t>
      </w:r>
      <w:r w:rsidRPr="00391BFD">
        <w:rPr>
          <w:noProof/>
        </w:rPr>
        <w:t xml:space="preserve">, </w:t>
      </w:r>
      <w:r w:rsidRPr="00391BFD">
        <w:rPr>
          <w:i/>
          <w:iCs/>
          <w:noProof/>
        </w:rPr>
        <w:t>44</w:t>
      </w:r>
      <w:r w:rsidRPr="00391BFD">
        <w:rPr>
          <w:noProof/>
        </w:rPr>
        <w:t>(11), 3509–3523. https://doi.org/10.1111/pce.14178</w:t>
      </w:r>
    </w:p>
    <w:p w14:paraId="0523A0D4"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Schneider, C. A., Rasband, W. S., &amp; Eliceiri, K. W. (2012). NIH Image to ImageJ: 25 years of image analysis. </w:t>
      </w:r>
      <w:r w:rsidRPr="00391BFD">
        <w:rPr>
          <w:i/>
          <w:iCs/>
          <w:noProof/>
        </w:rPr>
        <w:t>Nature Methods</w:t>
      </w:r>
      <w:r w:rsidRPr="00391BFD">
        <w:rPr>
          <w:noProof/>
        </w:rPr>
        <w:t xml:space="preserve">, </w:t>
      </w:r>
      <w:r w:rsidRPr="00391BFD">
        <w:rPr>
          <w:i/>
          <w:iCs/>
          <w:noProof/>
        </w:rPr>
        <w:t>9</w:t>
      </w:r>
      <w:r w:rsidRPr="00391BFD">
        <w:rPr>
          <w:noProof/>
        </w:rPr>
        <w:t>(7), 671–675. https://doi.org/10.1038/nmeth.2089</w:t>
      </w:r>
    </w:p>
    <w:p w14:paraId="42DD8B14"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Shi, M., Fisher, J. B., Brzostek, E. R., &amp; Phillips, R. P. (2016). Carbon cost of plant nitrogen acquisition: Global carbon cycle impact from an improved plant nitrogen cycle in the Community Land Model. </w:t>
      </w:r>
      <w:r w:rsidRPr="00391BFD">
        <w:rPr>
          <w:i/>
          <w:iCs/>
          <w:noProof/>
        </w:rPr>
        <w:t>Global Change Biology</w:t>
      </w:r>
      <w:r w:rsidRPr="00391BFD">
        <w:rPr>
          <w:noProof/>
        </w:rPr>
        <w:t xml:space="preserve">, </w:t>
      </w:r>
      <w:r w:rsidRPr="00391BFD">
        <w:rPr>
          <w:i/>
          <w:iCs/>
          <w:noProof/>
        </w:rPr>
        <w:t>22</w:t>
      </w:r>
      <w:r w:rsidRPr="00391BFD">
        <w:rPr>
          <w:noProof/>
        </w:rPr>
        <w:t xml:space="preserve">(3), 1299–1314. </w:t>
      </w:r>
      <w:r w:rsidRPr="00391BFD">
        <w:rPr>
          <w:noProof/>
        </w:rPr>
        <w:lastRenderedPageBreak/>
        <w:t>https://doi.org/10.1111/gcb.13131</w:t>
      </w:r>
    </w:p>
    <w:p w14:paraId="482D6298"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Smith, N. G., &amp; Dukes, J. S. (2013). Plant respiration and photosynthesis in global-scale models: incorporating acclimation to temperature and CO 2. </w:t>
      </w:r>
      <w:r w:rsidRPr="00391BFD">
        <w:rPr>
          <w:i/>
          <w:iCs/>
          <w:noProof/>
        </w:rPr>
        <w:t>Global Change Biology</w:t>
      </w:r>
      <w:r w:rsidRPr="00391BFD">
        <w:rPr>
          <w:noProof/>
        </w:rPr>
        <w:t xml:space="preserve">, </w:t>
      </w:r>
      <w:r w:rsidRPr="00391BFD">
        <w:rPr>
          <w:i/>
          <w:iCs/>
          <w:noProof/>
        </w:rPr>
        <w:t>19</w:t>
      </w:r>
      <w:r w:rsidRPr="00391BFD">
        <w:rPr>
          <w:noProof/>
        </w:rPr>
        <w:t>(1), 45–63. https://doi.org/10.1111/j.1365-2486.2012.02797.x</w:t>
      </w:r>
    </w:p>
    <w:p w14:paraId="102C4361"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Smith, N. G., &amp; Keenan, T. F. (2020). Mechanisms underlying leaf photosynthetic acclimation to warming and elevated CO2 as inferred from least‐cost optimality theory. </w:t>
      </w:r>
      <w:r w:rsidRPr="00391BFD">
        <w:rPr>
          <w:i/>
          <w:iCs/>
          <w:noProof/>
        </w:rPr>
        <w:t>Global Change Biology</w:t>
      </w:r>
      <w:r w:rsidRPr="00391BFD">
        <w:rPr>
          <w:noProof/>
        </w:rPr>
        <w:t xml:space="preserve">, </w:t>
      </w:r>
      <w:r w:rsidRPr="00391BFD">
        <w:rPr>
          <w:i/>
          <w:iCs/>
          <w:noProof/>
        </w:rPr>
        <w:t>26</w:t>
      </w:r>
      <w:r w:rsidRPr="00391BFD">
        <w:rPr>
          <w:noProof/>
        </w:rPr>
        <w:t>(9), 5202–5216. https://doi.org/10.1111/gcb.15212</w:t>
      </w:r>
    </w:p>
    <w:p w14:paraId="0D2191C5"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391BFD">
        <w:rPr>
          <w:i/>
          <w:iCs/>
          <w:noProof/>
        </w:rPr>
        <w:t>Ecology Letters</w:t>
      </w:r>
      <w:r w:rsidRPr="00391BFD">
        <w:rPr>
          <w:noProof/>
        </w:rPr>
        <w:t xml:space="preserve">, </w:t>
      </w:r>
      <w:r w:rsidRPr="00391BFD">
        <w:rPr>
          <w:i/>
          <w:iCs/>
          <w:noProof/>
        </w:rPr>
        <w:t>22</w:t>
      </w:r>
      <w:r w:rsidRPr="00391BFD">
        <w:rPr>
          <w:noProof/>
        </w:rPr>
        <w:t>(3), 506–517. https://doi.org/10.1111/ele.13210</w:t>
      </w:r>
    </w:p>
    <w:p w14:paraId="5BE1E883"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Smith, S. E., &amp; Read, D. J. (2008). </w:t>
      </w:r>
      <w:r w:rsidRPr="00391BFD">
        <w:rPr>
          <w:i/>
          <w:iCs/>
          <w:noProof/>
        </w:rPr>
        <w:t>Mycorrhizal Symbiosis</w:t>
      </w:r>
      <w:r w:rsidRPr="00391BFD">
        <w:rPr>
          <w:noProof/>
        </w:rPr>
        <w:t>.</w:t>
      </w:r>
    </w:p>
    <w:p w14:paraId="04A1E167"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Terrer, C., Vicca, S., Hungate, B. A., Phillips, R. P., &amp; Prentice, I. C. (2016). Mycorrhizal association as a primary control of the CO2 fertilization effect. </w:t>
      </w:r>
      <w:r w:rsidRPr="00391BFD">
        <w:rPr>
          <w:i/>
          <w:iCs/>
          <w:noProof/>
        </w:rPr>
        <w:t>Science</w:t>
      </w:r>
      <w:r w:rsidRPr="00391BFD">
        <w:rPr>
          <w:noProof/>
        </w:rPr>
        <w:t xml:space="preserve">, </w:t>
      </w:r>
      <w:r w:rsidRPr="00391BFD">
        <w:rPr>
          <w:i/>
          <w:iCs/>
          <w:noProof/>
        </w:rPr>
        <w:t>353</w:t>
      </w:r>
      <w:r w:rsidRPr="00391BFD">
        <w:rPr>
          <w:noProof/>
        </w:rPr>
        <w:t>(6294), 72–74. https://doi.org/10.1126/science.aaf4610</w:t>
      </w:r>
    </w:p>
    <w:p w14:paraId="5150F0E7"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Terrer, C., Vicca, S., Stocker, B. D., Hungate, B. A., Phillips, R. P., Reich, P. B., Finzi, A. C., &amp; Prentice, I. C. (2018). Ecosystem responses to elevated &lt;scp&gt;CO&lt;/scp&gt; </w:t>
      </w:r>
      <w:r w:rsidRPr="00391BFD">
        <w:rPr>
          <w:noProof/>
          <w:vertAlign w:val="subscript"/>
        </w:rPr>
        <w:t>2</w:t>
      </w:r>
      <w:r w:rsidRPr="00391BFD">
        <w:rPr>
          <w:noProof/>
        </w:rPr>
        <w:t xml:space="preserve"> governed by plant–soil interactions and the cost of nitrogen acquisition. </w:t>
      </w:r>
      <w:r w:rsidRPr="00391BFD">
        <w:rPr>
          <w:i/>
          <w:iCs/>
          <w:noProof/>
        </w:rPr>
        <w:t>New Phytologist</w:t>
      </w:r>
      <w:r w:rsidRPr="00391BFD">
        <w:rPr>
          <w:noProof/>
        </w:rPr>
        <w:t xml:space="preserve">, </w:t>
      </w:r>
      <w:r w:rsidRPr="00391BFD">
        <w:rPr>
          <w:i/>
          <w:iCs/>
          <w:noProof/>
        </w:rPr>
        <w:t>217</w:t>
      </w:r>
      <w:r w:rsidRPr="00391BFD">
        <w:rPr>
          <w:noProof/>
        </w:rPr>
        <w:t>(2), 507–522. https://doi.org/10.1111/nph.14872</w:t>
      </w:r>
    </w:p>
    <w:p w14:paraId="2936A882"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Udvardi, M., &amp; Poole, P. S. (2013). Transport and metabolism in legume-rhizobia symbioses. </w:t>
      </w:r>
      <w:r w:rsidRPr="00391BFD">
        <w:rPr>
          <w:i/>
          <w:iCs/>
          <w:noProof/>
        </w:rPr>
        <w:t>Annual Review of Plant Biology</w:t>
      </w:r>
      <w:r w:rsidRPr="00391BFD">
        <w:rPr>
          <w:noProof/>
        </w:rPr>
        <w:t xml:space="preserve">, </w:t>
      </w:r>
      <w:r w:rsidRPr="00391BFD">
        <w:rPr>
          <w:i/>
          <w:iCs/>
          <w:noProof/>
        </w:rPr>
        <w:t>64</w:t>
      </w:r>
      <w:r w:rsidRPr="00391BFD">
        <w:rPr>
          <w:noProof/>
        </w:rPr>
        <w:t>, 781–805. https://doi.org/10.1146/annurev-arplant-050312-120235</w:t>
      </w:r>
    </w:p>
    <w:p w14:paraId="30EB4DDB"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lastRenderedPageBreak/>
        <w:t xml:space="preserve">Vance, C. P., &amp; Heichel, G. H. (1991). Carbon in N2 fixation: Limitation or exquisite adaptation. </w:t>
      </w:r>
      <w:r w:rsidRPr="00391BFD">
        <w:rPr>
          <w:i/>
          <w:iCs/>
          <w:noProof/>
        </w:rPr>
        <w:t>Annual Review of Plant Physiology and Plant Molecular Biology</w:t>
      </w:r>
      <w:r w:rsidRPr="00391BFD">
        <w:rPr>
          <w:noProof/>
        </w:rPr>
        <w:t xml:space="preserve">, </w:t>
      </w:r>
      <w:r w:rsidRPr="00391BFD">
        <w:rPr>
          <w:i/>
          <w:iCs/>
          <w:noProof/>
        </w:rPr>
        <w:t>42</w:t>
      </w:r>
      <w:r w:rsidRPr="00391BFD">
        <w:rPr>
          <w:noProof/>
        </w:rPr>
        <w:t>(1), 373–392. https://doi.org/10.1146/annurev.arplant.42.1.373</w:t>
      </w:r>
    </w:p>
    <w:p w14:paraId="4E16A11A"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Vitousek, P. M., &amp; Howarth, R. W. (1991). Nitrogen limitation on land and in sea: how can it occur? </w:t>
      </w:r>
      <w:r w:rsidRPr="00391BFD">
        <w:rPr>
          <w:i/>
          <w:iCs/>
          <w:noProof/>
        </w:rPr>
        <w:t>Biogeochemistry</w:t>
      </w:r>
      <w:r w:rsidRPr="00391BFD">
        <w:rPr>
          <w:noProof/>
        </w:rPr>
        <w:t xml:space="preserve">, </w:t>
      </w:r>
      <w:r w:rsidRPr="00391BFD">
        <w:rPr>
          <w:i/>
          <w:iCs/>
          <w:noProof/>
        </w:rPr>
        <w:t>13</w:t>
      </w:r>
      <w:r w:rsidRPr="00391BFD">
        <w:rPr>
          <w:noProof/>
        </w:rPr>
        <w:t>(2), 87–115.</w:t>
      </w:r>
    </w:p>
    <w:p w14:paraId="552F346A"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391BFD">
        <w:rPr>
          <w:i/>
          <w:iCs/>
          <w:noProof/>
        </w:rPr>
        <w:t>Ecology and Evolution</w:t>
      </w:r>
      <w:r w:rsidRPr="00391BFD">
        <w:rPr>
          <w:noProof/>
        </w:rPr>
        <w:t xml:space="preserve">, </w:t>
      </w:r>
      <w:r w:rsidRPr="00391BFD">
        <w:rPr>
          <w:i/>
          <w:iCs/>
          <w:noProof/>
        </w:rPr>
        <w:t>4</w:t>
      </w:r>
      <w:r w:rsidRPr="00391BFD">
        <w:rPr>
          <w:noProof/>
        </w:rPr>
        <w:t>(16), 3218–3235. https://doi.org/10.1002/ece3.1173</w:t>
      </w:r>
    </w:p>
    <w:p w14:paraId="0EFABBC6"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Wellburn, A. R. (1994). The spectral determination of chlorophylls a and b, as well as total carotenoids, using various solvents with spectrophotometers of different resolution. </w:t>
      </w:r>
      <w:r w:rsidRPr="00391BFD">
        <w:rPr>
          <w:i/>
          <w:iCs/>
          <w:noProof/>
        </w:rPr>
        <w:t>Journal of Plant Physiology</w:t>
      </w:r>
      <w:r w:rsidRPr="00391BFD">
        <w:rPr>
          <w:noProof/>
        </w:rPr>
        <w:t xml:space="preserve">, </w:t>
      </w:r>
      <w:r w:rsidRPr="00391BFD">
        <w:rPr>
          <w:i/>
          <w:iCs/>
          <w:noProof/>
        </w:rPr>
        <w:t>144</w:t>
      </w:r>
      <w:r w:rsidRPr="00391BFD">
        <w:rPr>
          <w:noProof/>
        </w:rPr>
        <w:t>(3), 307–313. https://doi.org/10.1016/S0176-1617(11)81192-2</w:t>
      </w:r>
    </w:p>
    <w:p w14:paraId="440258AC"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Wen, Z., White, P. J., Shen, J., &amp; Lambers, H. (2022). Linking root exudation to belowground economic traits for resource acquisition. </w:t>
      </w:r>
      <w:r w:rsidRPr="00391BFD">
        <w:rPr>
          <w:i/>
          <w:iCs/>
          <w:noProof/>
        </w:rPr>
        <w:t>New Phytologist</w:t>
      </w:r>
      <w:r w:rsidRPr="00391BFD">
        <w:rPr>
          <w:noProof/>
        </w:rPr>
        <w:t xml:space="preserve">, </w:t>
      </w:r>
      <w:r w:rsidRPr="00391BFD">
        <w:rPr>
          <w:i/>
          <w:iCs/>
          <w:noProof/>
        </w:rPr>
        <w:t>233</w:t>
      </w:r>
      <w:r w:rsidRPr="00391BFD">
        <w:rPr>
          <w:noProof/>
        </w:rPr>
        <w:t>(4), 1620–1635. https://doi.org/10.1111/nph.17854</w:t>
      </w:r>
    </w:p>
    <w:p w14:paraId="29108BBD"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391BFD">
        <w:rPr>
          <w:i/>
          <w:iCs/>
          <w:noProof/>
        </w:rPr>
        <w:t>Global Change Biology</w:t>
      </w:r>
      <w:r w:rsidRPr="00391BFD">
        <w:rPr>
          <w:noProof/>
        </w:rPr>
        <w:t>, 1–29. https://doi.org/10.1111/gcb.16501</w:t>
      </w:r>
    </w:p>
    <w:p w14:paraId="7ACD8F8C"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Wright, I. J., Reich, P. B., &amp; Westoby, M. (2003). Least-cost input mixtures of water and nitrogen for photosynthesis. </w:t>
      </w:r>
      <w:r w:rsidRPr="00391BFD">
        <w:rPr>
          <w:i/>
          <w:iCs/>
          <w:noProof/>
        </w:rPr>
        <w:t>The American Naturalist</w:t>
      </w:r>
      <w:r w:rsidRPr="00391BFD">
        <w:rPr>
          <w:noProof/>
        </w:rPr>
        <w:t xml:space="preserve">, </w:t>
      </w:r>
      <w:r w:rsidRPr="00391BFD">
        <w:rPr>
          <w:i/>
          <w:iCs/>
          <w:noProof/>
        </w:rPr>
        <w:t>161</w:t>
      </w:r>
      <w:r w:rsidRPr="00391BFD">
        <w:rPr>
          <w:noProof/>
        </w:rPr>
        <w:t>(1), 98–111. https://doi.org/0003-</w:t>
      </w:r>
      <w:r w:rsidRPr="00391BFD">
        <w:rPr>
          <w:noProof/>
        </w:rPr>
        <w:lastRenderedPageBreak/>
        <w:t>0147/2003/16101-010387</w:t>
      </w:r>
    </w:p>
    <w:p w14:paraId="3B08EF69" w14:textId="77777777" w:rsidR="00391BFD" w:rsidRPr="00391BFD" w:rsidRDefault="00391BFD" w:rsidP="00391BFD">
      <w:pPr>
        <w:widowControl w:val="0"/>
        <w:autoSpaceDE w:val="0"/>
        <w:autoSpaceDN w:val="0"/>
        <w:adjustRightInd w:val="0"/>
        <w:spacing w:line="480" w:lineRule="auto"/>
        <w:ind w:left="480" w:hanging="480"/>
        <w:rPr>
          <w:noProof/>
        </w:rPr>
      </w:pPr>
      <w:r w:rsidRPr="00391BFD">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391BFD">
        <w:rPr>
          <w:i/>
          <w:iCs/>
          <w:noProof/>
        </w:rPr>
        <w:t>New Phytologist</w:t>
      </w:r>
      <w:r w:rsidRPr="00391BFD">
        <w:rPr>
          <w:noProof/>
        </w:rPr>
        <w:t xml:space="preserve">, </w:t>
      </w:r>
      <w:r w:rsidRPr="00391BFD">
        <w:rPr>
          <w:i/>
          <w:iCs/>
          <w:noProof/>
        </w:rPr>
        <w:t>202</w:t>
      </w:r>
      <w:r w:rsidRPr="00391BFD">
        <w:rPr>
          <w:noProof/>
        </w:rPr>
        <w:t>(3), 803–822. https://doi.org/10.1111/nph.12697</w:t>
      </w:r>
    </w:p>
    <w:p w14:paraId="4B231BC7" w14:textId="60D56B3B" w:rsidR="00E60BAC" w:rsidRPr="00E60BAC" w:rsidRDefault="00E60BAC" w:rsidP="00391BFD">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BDD56" w14:textId="77777777" w:rsidR="00820E42" w:rsidRDefault="00820E42" w:rsidP="00BE0B5B">
      <w:r>
        <w:separator/>
      </w:r>
    </w:p>
  </w:endnote>
  <w:endnote w:type="continuationSeparator" w:id="0">
    <w:p w14:paraId="301F8067" w14:textId="77777777" w:rsidR="00820E42" w:rsidRDefault="00820E42"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31D11" w14:textId="77777777" w:rsidR="00820E42" w:rsidRDefault="00820E42" w:rsidP="00BE0B5B">
      <w:r>
        <w:separator/>
      </w:r>
    </w:p>
  </w:footnote>
  <w:footnote w:type="continuationSeparator" w:id="0">
    <w:p w14:paraId="632CEE4A" w14:textId="77777777" w:rsidR="00820E42" w:rsidRDefault="00820E42"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669D2"/>
    <w:rsid w:val="000820D8"/>
    <w:rsid w:val="00082C95"/>
    <w:rsid w:val="00086BD0"/>
    <w:rsid w:val="0009584F"/>
    <w:rsid w:val="000978B2"/>
    <w:rsid w:val="000A41E5"/>
    <w:rsid w:val="000A6A68"/>
    <w:rsid w:val="000B123A"/>
    <w:rsid w:val="000B2094"/>
    <w:rsid w:val="000B5223"/>
    <w:rsid w:val="000C589C"/>
    <w:rsid w:val="000E230D"/>
    <w:rsid w:val="000E3911"/>
    <w:rsid w:val="000E7383"/>
    <w:rsid w:val="00122B78"/>
    <w:rsid w:val="0012364D"/>
    <w:rsid w:val="001262D1"/>
    <w:rsid w:val="00127F5D"/>
    <w:rsid w:val="00131D02"/>
    <w:rsid w:val="00133763"/>
    <w:rsid w:val="001339A7"/>
    <w:rsid w:val="00136839"/>
    <w:rsid w:val="00151116"/>
    <w:rsid w:val="00153CB5"/>
    <w:rsid w:val="001574F8"/>
    <w:rsid w:val="00157D71"/>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E026E"/>
    <w:rsid w:val="001E5EF9"/>
    <w:rsid w:val="001F25D4"/>
    <w:rsid w:val="001F5181"/>
    <w:rsid w:val="001F5239"/>
    <w:rsid w:val="002034D4"/>
    <w:rsid w:val="00215BF0"/>
    <w:rsid w:val="002251B8"/>
    <w:rsid w:val="00242D25"/>
    <w:rsid w:val="00243B3D"/>
    <w:rsid w:val="00247CFD"/>
    <w:rsid w:val="00250F92"/>
    <w:rsid w:val="00256F75"/>
    <w:rsid w:val="00265007"/>
    <w:rsid w:val="0027665D"/>
    <w:rsid w:val="00280679"/>
    <w:rsid w:val="00281236"/>
    <w:rsid w:val="002812F5"/>
    <w:rsid w:val="00284815"/>
    <w:rsid w:val="00285915"/>
    <w:rsid w:val="00287B75"/>
    <w:rsid w:val="00290BBE"/>
    <w:rsid w:val="002948B1"/>
    <w:rsid w:val="00297869"/>
    <w:rsid w:val="002A1426"/>
    <w:rsid w:val="002A3C9A"/>
    <w:rsid w:val="002C30A0"/>
    <w:rsid w:val="002C360E"/>
    <w:rsid w:val="002D30AB"/>
    <w:rsid w:val="002D7E7F"/>
    <w:rsid w:val="002E018C"/>
    <w:rsid w:val="002E1766"/>
    <w:rsid w:val="002E2834"/>
    <w:rsid w:val="002F24E0"/>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3E72"/>
    <w:rsid w:val="00375E1D"/>
    <w:rsid w:val="00376836"/>
    <w:rsid w:val="00376F21"/>
    <w:rsid w:val="003810C5"/>
    <w:rsid w:val="00385BDF"/>
    <w:rsid w:val="003866F7"/>
    <w:rsid w:val="00391BFD"/>
    <w:rsid w:val="003A20C6"/>
    <w:rsid w:val="003A28AA"/>
    <w:rsid w:val="003A66AF"/>
    <w:rsid w:val="003B790E"/>
    <w:rsid w:val="003C181F"/>
    <w:rsid w:val="003C6CE0"/>
    <w:rsid w:val="003D4E39"/>
    <w:rsid w:val="003F0E69"/>
    <w:rsid w:val="003F1DED"/>
    <w:rsid w:val="00405D03"/>
    <w:rsid w:val="00410300"/>
    <w:rsid w:val="004177E2"/>
    <w:rsid w:val="0043306A"/>
    <w:rsid w:val="00451F94"/>
    <w:rsid w:val="00461D5E"/>
    <w:rsid w:val="00470A8B"/>
    <w:rsid w:val="00473A0B"/>
    <w:rsid w:val="00475A2D"/>
    <w:rsid w:val="004859F9"/>
    <w:rsid w:val="00487452"/>
    <w:rsid w:val="0049650C"/>
    <w:rsid w:val="00497794"/>
    <w:rsid w:val="004B2C0F"/>
    <w:rsid w:val="004B70BE"/>
    <w:rsid w:val="004C2086"/>
    <w:rsid w:val="004C51F0"/>
    <w:rsid w:val="004D2EA7"/>
    <w:rsid w:val="004D6870"/>
    <w:rsid w:val="004D6B48"/>
    <w:rsid w:val="004D7D18"/>
    <w:rsid w:val="004E18EF"/>
    <w:rsid w:val="004E480B"/>
    <w:rsid w:val="00500DA3"/>
    <w:rsid w:val="00505254"/>
    <w:rsid w:val="00515179"/>
    <w:rsid w:val="00515251"/>
    <w:rsid w:val="00521148"/>
    <w:rsid w:val="005265AD"/>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B6D76"/>
    <w:rsid w:val="005C3139"/>
    <w:rsid w:val="005C59EC"/>
    <w:rsid w:val="005C770D"/>
    <w:rsid w:val="005D1ED2"/>
    <w:rsid w:val="005D5416"/>
    <w:rsid w:val="005E067B"/>
    <w:rsid w:val="005E2D78"/>
    <w:rsid w:val="005E71A8"/>
    <w:rsid w:val="00604604"/>
    <w:rsid w:val="00607093"/>
    <w:rsid w:val="00613F7E"/>
    <w:rsid w:val="0061578C"/>
    <w:rsid w:val="00616ADB"/>
    <w:rsid w:val="006223F4"/>
    <w:rsid w:val="0062409B"/>
    <w:rsid w:val="00661657"/>
    <w:rsid w:val="00661F5E"/>
    <w:rsid w:val="00664380"/>
    <w:rsid w:val="00672FFC"/>
    <w:rsid w:val="0067614B"/>
    <w:rsid w:val="0067746E"/>
    <w:rsid w:val="00683E3B"/>
    <w:rsid w:val="0069616B"/>
    <w:rsid w:val="006B2DB0"/>
    <w:rsid w:val="006B7362"/>
    <w:rsid w:val="006C0B91"/>
    <w:rsid w:val="006C797A"/>
    <w:rsid w:val="006C7FA6"/>
    <w:rsid w:val="006D1D6B"/>
    <w:rsid w:val="006E79CE"/>
    <w:rsid w:val="006F3920"/>
    <w:rsid w:val="006F48E3"/>
    <w:rsid w:val="00703991"/>
    <w:rsid w:val="007041ED"/>
    <w:rsid w:val="00705318"/>
    <w:rsid w:val="007072E7"/>
    <w:rsid w:val="007076C3"/>
    <w:rsid w:val="00713D98"/>
    <w:rsid w:val="007267BF"/>
    <w:rsid w:val="00740198"/>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6C54"/>
    <w:rsid w:val="008201B4"/>
    <w:rsid w:val="00820E42"/>
    <w:rsid w:val="00823CBA"/>
    <w:rsid w:val="008352DC"/>
    <w:rsid w:val="008439F1"/>
    <w:rsid w:val="00852873"/>
    <w:rsid w:val="00853C83"/>
    <w:rsid w:val="00867DE7"/>
    <w:rsid w:val="00870551"/>
    <w:rsid w:val="00875F70"/>
    <w:rsid w:val="00887B00"/>
    <w:rsid w:val="008A40EC"/>
    <w:rsid w:val="008B067B"/>
    <w:rsid w:val="008B6132"/>
    <w:rsid w:val="008B66B5"/>
    <w:rsid w:val="008D224C"/>
    <w:rsid w:val="008D4ED6"/>
    <w:rsid w:val="008E01D4"/>
    <w:rsid w:val="008E2093"/>
    <w:rsid w:val="008F1A48"/>
    <w:rsid w:val="008F3F02"/>
    <w:rsid w:val="008F3FB9"/>
    <w:rsid w:val="00901166"/>
    <w:rsid w:val="0090281E"/>
    <w:rsid w:val="0091040E"/>
    <w:rsid w:val="00923070"/>
    <w:rsid w:val="00925685"/>
    <w:rsid w:val="00930214"/>
    <w:rsid w:val="00930CCC"/>
    <w:rsid w:val="00937E80"/>
    <w:rsid w:val="009440BC"/>
    <w:rsid w:val="00952D7C"/>
    <w:rsid w:val="00954F62"/>
    <w:rsid w:val="009574E3"/>
    <w:rsid w:val="00961490"/>
    <w:rsid w:val="00961A01"/>
    <w:rsid w:val="00971319"/>
    <w:rsid w:val="009778E7"/>
    <w:rsid w:val="009914B7"/>
    <w:rsid w:val="009B0345"/>
    <w:rsid w:val="009B2B3C"/>
    <w:rsid w:val="009B7C4B"/>
    <w:rsid w:val="009C0896"/>
    <w:rsid w:val="009D1592"/>
    <w:rsid w:val="009D6030"/>
    <w:rsid w:val="009E41D6"/>
    <w:rsid w:val="00A075E5"/>
    <w:rsid w:val="00A13D14"/>
    <w:rsid w:val="00A14A1D"/>
    <w:rsid w:val="00A222F5"/>
    <w:rsid w:val="00A2354B"/>
    <w:rsid w:val="00A26874"/>
    <w:rsid w:val="00A33030"/>
    <w:rsid w:val="00A3384B"/>
    <w:rsid w:val="00A56938"/>
    <w:rsid w:val="00A5727F"/>
    <w:rsid w:val="00A618EC"/>
    <w:rsid w:val="00A62C66"/>
    <w:rsid w:val="00A63B5B"/>
    <w:rsid w:val="00A67FF2"/>
    <w:rsid w:val="00A73915"/>
    <w:rsid w:val="00A742CF"/>
    <w:rsid w:val="00A765F4"/>
    <w:rsid w:val="00A84320"/>
    <w:rsid w:val="00A87C8A"/>
    <w:rsid w:val="00AC0888"/>
    <w:rsid w:val="00AC1998"/>
    <w:rsid w:val="00AD5C31"/>
    <w:rsid w:val="00AE67B1"/>
    <w:rsid w:val="00AF1373"/>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7CE7"/>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1060"/>
    <w:rsid w:val="00C34C61"/>
    <w:rsid w:val="00C358CC"/>
    <w:rsid w:val="00C36D50"/>
    <w:rsid w:val="00C42E33"/>
    <w:rsid w:val="00C43709"/>
    <w:rsid w:val="00C54EE1"/>
    <w:rsid w:val="00C633A2"/>
    <w:rsid w:val="00C6423C"/>
    <w:rsid w:val="00C71098"/>
    <w:rsid w:val="00C73D22"/>
    <w:rsid w:val="00C77766"/>
    <w:rsid w:val="00C7794E"/>
    <w:rsid w:val="00C84C35"/>
    <w:rsid w:val="00C84F89"/>
    <w:rsid w:val="00C902FD"/>
    <w:rsid w:val="00C93B64"/>
    <w:rsid w:val="00C94130"/>
    <w:rsid w:val="00CA0B71"/>
    <w:rsid w:val="00CB183B"/>
    <w:rsid w:val="00CB5C46"/>
    <w:rsid w:val="00CB6CDF"/>
    <w:rsid w:val="00CC07AC"/>
    <w:rsid w:val="00CC3C8B"/>
    <w:rsid w:val="00CD368B"/>
    <w:rsid w:val="00CD6CA5"/>
    <w:rsid w:val="00CE087E"/>
    <w:rsid w:val="00CE09F1"/>
    <w:rsid w:val="00CE2816"/>
    <w:rsid w:val="00CF12A0"/>
    <w:rsid w:val="00CF1697"/>
    <w:rsid w:val="00CF2A0F"/>
    <w:rsid w:val="00CF3DB6"/>
    <w:rsid w:val="00CF4C98"/>
    <w:rsid w:val="00D0395C"/>
    <w:rsid w:val="00D06E10"/>
    <w:rsid w:val="00D13D0F"/>
    <w:rsid w:val="00D17CD5"/>
    <w:rsid w:val="00D33CED"/>
    <w:rsid w:val="00D40F7F"/>
    <w:rsid w:val="00D47386"/>
    <w:rsid w:val="00D4788C"/>
    <w:rsid w:val="00D6180E"/>
    <w:rsid w:val="00D646BA"/>
    <w:rsid w:val="00D73AEB"/>
    <w:rsid w:val="00D74537"/>
    <w:rsid w:val="00D74B1E"/>
    <w:rsid w:val="00D82CDD"/>
    <w:rsid w:val="00D83236"/>
    <w:rsid w:val="00D924B1"/>
    <w:rsid w:val="00D96051"/>
    <w:rsid w:val="00DA1161"/>
    <w:rsid w:val="00DA2323"/>
    <w:rsid w:val="00DA258F"/>
    <w:rsid w:val="00DA5F83"/>
    <w:rsid w:val="00DA6299"/>
    <w:rsid w:val="00DB7CDA"/>
    <w:rsid w:val="00DC1D72"/>
    <w:rsid w:val="00DD0204"/>
    <w:rsid w:val="00DD79E2"/>
    <w:rsid w:val="00DE2B27"/>
    <w:rsid w:val="00DF14FC"/>
    <w:rsid w:val="00DF4B2D"/>
    <w:rsid w:val="00DF6D16"/>
    <w:rsid w:val="00E06DE0"/>
    <w:rsid w:val="00E070C2"/>
    <w:rsid w:val="00E07307"/>
    <w:rsid w:val="00E249F0"/>
    <w:rsid w:val="00E260EF"/>
    <w:rsid w:val="00E302CB"/>
    <w:rsid w:val="00E31D2E"/>
    <w:rsid w:val="00E40882"/>
    <w:rsid w:val="00E44B18"/>
    <w:rsid w:val="00E4717B"/>
    <w:rsid w:val="00E50380"/>
    <w:rsid w:val="00E549C0"/>
    <w:rsid w:val="00E60355"/>
    <w:rsid w:val="00E60BAC"/>
    <w:rsid w:val="00E62AC7"/>
    <w:rsid w:val="00E64D01"/>
    <w:rsid w:val="00E71668"/>
    <w:rsid w:val="00E842AD"/>
    <w:rsid w:val="00E90F4A"/>
    <w:rsid w:val="00EA1004"/>
    <w:rsid w:val="00EA4C01"/>
    <w:rsid w:val="00EA6947"/>
    <w:rsid w:val="00EC32C3"/>
    <w:rsid w:val="00EE1204"/>
    <w:rsid w:val="00F06C56"/>
    <w:rsid w:val="00F1123A"/>
    <w:rsid w:val="00F1197A"/>
    <w:rsid w:val="00F34930"/>
    <w:rsid w:val="00F41D8E"/>
    <w:rsid w:val="00F42BEB"/>
    <w:rsid w:val="00F55823"/>
    <w:rsid w:val="00F56D6E"/>
    <w:rsid w:val="00F60974"/>
    <w:rsid w:val="00F6719A"/>
    <w:rsid w:val="00F70890"/>
    <w:rsid w:val="00F83BCB"/>
    <w:rsid w:val="00F854A8"/>
    <w:rsid w:val="00F86D81"/>
    <w:rsid w:val="00F917B0"/>
    <w:rsid w:val="00F91834"/>
    <w:rsid w:val="00F93A34"/>
    <w:rsid w:val="00F97E90"/>
    <w:rsid w:val="00FA1024"/>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52</Pages>
  <Words>56556</Words>
  <Characters>322373</Characters>
  <Application>Microsoft Office Word</Application>
  <DocSecurity>0</DocSecurity>
  <Lines>2686</Lines>
  <Paragraphs>756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dcterms:created xsi:type="dcterms:W3CDTF">2022-12-28T22:31:00Z</dcterms:created>
  <dcterms:modified xsi:type="dcterms:W3CDTF">2023-01-05T22:30:00Z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